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E7C86"/>
          <w:spacing w:val="30"/>
          <w:sz w:val="18"/>
          <w:szCs w:val="18"/>
        </w:rPr>
        <w:t xml:space="preserve">🎵 HOLDNOTE</w:t>
      </w:r>
    </w:p>
    <w:p>
      <w:pPr>
        <w:spacing w:after="50"/>
      </w:pPr>
      <w:r>
        <w:rPr>
          <w:b/>
          <w:bCs/>
          <w:color w:val="141414"/>
          <w:sz w:val="36"/>
          <w:szCs w:val="36"/>
        </w:rPr>
        <w:t xml:space="preserve">Build an AI voice agent. 20 minutes.</w:t>
      </w:r>
    </w:p>
    <w:p>
      <w:pPr>
        <w:pBdr>
          <w:bottom w:val="single" w:color="0E7C86" w:sz="12"/>
        </w:pBdr>
        <w:spacing w:after="170"/>
      </w:pPr>
      <w:r>
        <w:rPr>
          <w:color w:val="757575"/>
          <w:sz w:val="19"/>
          <w:szCs w:val="19"/>
        </w:rPr>
        <w:t xml:space="preserve">The short version. The full RFP has everything else.</w:t>
      </w:r>
    </w:p>
    <w:p>
      <w:pPr>
        <w:spacing w:after="110" w:before="0" w:line="268"/>
      </w:pPr>
      <w:r>
        <w:rPr>
          <w:color w:val="141414"/>
          <w:sz w:val="21"/>
          <w:szCs w:val="21"/>
        </w:rPr>
        <w:t xml:space="preserve">HoldNote writes and produces custom on-hold messages, voicemail greetings, and phone-menu scripts for small businesses. What started as a Sunday-afternoon favor for a friend’s dental practice is now a one-person operation with about sixty clients: Dana takes every intake call, writes each script, and records the voiceover the next morning.</w:t>
      </w:r>
    </w:p>
    <w:p>
      <w:pPr>
        <w:spacing w:after="130" w:before="0" w:line="268"/>
      </w:pPr>
      <w:r>
        <w:rPr>
          <w:color w:val="141414"/>
          <w:sz w:val="21"/>
          <w:szCs w:val="21"/>
        </w:rPr>
        <w:t xml:space="preserve">They want to know where an AI voice agent fits in that workflow. Build one thing that either makes them money or saves them time. Nobody expects a finished product — one narrow thing that works beats a broad thing that does not. Then you submit it before the clock stops.</w:t>
      </w:r>
    </w:p>
    <w:p>
      <w:pPr>
        <w:spacing w:after="0" w:before="0" w:line="268"/>
      </w:pPr>
      <w:r>
        <w:rPr>
          <w:b/>
          <w:bCs/>
          <w:color w:val="141414"/>
          <w:sz w:val="21"/>
          <w:szCs w:val="21"/>
        </w:rPr>
        <w:t xml:space="preserve">Throw the full RFP into your AI tool and start there. </w:t>
      </w:r>
      <w:r>
        <w:rPr>
          <w:color w:val="141414"/>
          <w:sz w:val="21"/>
          <w:szCs w:val="21"/>
        </w:rPr>
        <w:t xml:space="preserve">It has the requirements, the guardrails and the scoring rubric in it, and it was written to be read that way. Do not retype any of it from this page.</w:t>
      </w:r>
    </w:p>
    <w:p>
      <w:pPr>
        <w:spacing w:after="190"/>
      </w:pPr>
    </w:p>
    <w:tbl>
      <w:tblPr>
        <w:tblW w:type="dxa" w:w="10440"/>
        <w:tblBorders>
          <w:top w:val="single" w:color="0E7C86" w:sz="10"/>
          <w:left w:val="single" w:color="0E7C86" w:sz="10"/>
          <w:bottom w:val="single" w:color="0E7C86" w:sz="10"/>
          <w:right w:val="single" w:color="0E7C86" w:sz="10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shd w:fill="ECF6F6" w:color="auto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spacing w:after="90"/>
            </w:pPr>
            <w:r>
              <w:rPr>
                <w:b/>
                <w:bCs/>
                <w:color w:val="0E7C86"/>
                <w:spacing w:val="20"/>
                <w:sz w:val="27"/>
                <w:szCs w:val="27"/>
              </w:rPr>
              <w:t xml:space="preserve">SUBMIT</w:t>
            </w:r>
            <w:r>
              <w:rPr>
                <w:color w:val="5C8A8D"/>
                <w:sz w:val="18"/>
                <w:szCs w:val="18"/>
              </w:rPr>
              <w:t xml:space="preserve">    before the clock stops — this is the part people forget</w:t>
            </w:r>
          </w:p>
          <w:p>
            <w:pPr>
              <w:spacing w:after="130" w:before="0" w:line="252"/>
            </w:pPr>
            <w:r>
              <w:rPr>
                <w:color w:val="141414"/>
                <w:sz w:val="20"/>
                <w:szCs w:val="20"/>
              </w:rPr>
              <w:t xml:space="preserve">Submit through the form at </w:t>
            </w:r>
            <w:r>
              <w:rPr>
                <w:b/>
                <w:bCs/>
                <w:color w:val="0E7C86"/>
                <w:sz w:val="20"/>
                <w:szCs w:val="20"/>
              </w:rPr>
              <w:t xml:space="preserve">[submission form link]</w:t>
            </w:r>
            <w:r>
              <w:rPr>
                <w:color w:val="141414"/>
                <w:sz w:val="20"/>
                <w:szCs w:val="20"/>
              </w:rPr>
              <w:t xml:space="preserve">. One GitHub repository, public or private. Nothing else — no deck, no video, no proposal.</w:t>
            </w:r>
          </w:p>
          <w:tbl>
            <w:tblPr>
              <w:tblW w:type="dxa" w:w="9880"/>
              <w:tblBorders>
                <w:top w:val="single" w:color="9BC9CB" w:sz="4"/>
                <w:left w:val="none"/>
                <w:bottom w:val="single" w:color="9BC9CB" w:sz="4"/>
                <w:right w:val="none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6880"/>
            </w:tblGrid>
            <w:tr>
              <w:trPr>
                <w:cantSplit/>
              </w:trPr>
              <w:tc>
                <w:tcPr>
                  <w:tcW w:type="dxa" w:w="3000"/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b/>
                      <w:bCs/>
                      <w:color w:val="141414"/>
                      <w:sz w:val="20"/>
                      <w:szCs w:val="20"/>
                    </w:rPr>
                    <w:t xml:space="preserve">Your name</w:t>
                  </w:r>
                </w:p>
              </w:tc>
              <w:tc>
                <w:tcPr>
                  <w:tcW w:type="dxa" w:w="6880"/>
                  <w:tcMar>
                    <w:top w:type="dxa" w:w="70"/>
                    <w:left w:type="dxa" w:w="100"/>
                    <w:bottom w:type="dxa" w:w="70"/>
                    <w:right w:type="dxa" w:w="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color w:val="141414"/>
                      <w:sz w:val="19"/>
                      <w:szCs w:val="19"/>
                    </w:rPr>
                    <w:t xml:space="preserve">Everyone, if you worked as a team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3000"/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b/>
                      <w:bCs/>
                      <w:color w:val="141414"/>
                      <w:sz w:val="20"/>
                      <w:szCs w:val="20"/>
                    </w:rPr>
                    <w:t xml:space="preserve">Your email</w:t>
                  </w:r>
                </w:p>
              </w:tc>
              <w:tc>
                <w:tcPr>
                  <w:tcW w:type="dxa" w:w="6880"/>
                  <w:tcMar>
                    <w:top w:type="dxa" w:w="70"/>
                    <w:left w:type="dxa" w:w="100"/>
                    <w:bottom w:type="dxa" w:w="70"/>
                    <w:right w:type="dxa" w:w="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color w:val="141414"/>
                      <w:sz w:val="19"/>
                      <w:szCs w:val="19"/>
                    </w:rPr>
                    <w:t xml:space="preserve">Where results go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3000"/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b/>
                      <w:bCs/>
                      <w:color w:val="141414"/>
                      <w:sz w:val="20"/>
                      <w:szCs w:val="20"/>
                    </w:rPr>
                    <w:t xml:space="preserve">GitHub repo URL</w:t>
                  </w:r>
                </w:p>
              </w:tc>
              <w:tc>
                <w:tcPr>
                  <w:tcW w:type="dxa" w:w="6880"/>
                  <w:tcMar>
                    <w:top w:type="dxa" w:w="70"/>
                    <w:left w:type="dxa" w:w="100"/>
                    <w:bottom w:type="dxa" w:w="70"/>
                    <w:right w:type="dxa" w:w="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color w:val="141414"/>
                      <w:sz w:val="19"/>
                      <w:szCs w:val="19"/>
                    </w:rPr>
                    <w:t xml:space="preserve">Public or private, both fine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3000"/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b/>
                      <w:bCs/>
                      <w:color w:val="141414"/>
                      <w:sz w:val="20"/>
                      <w:szCs w:val="20"/>
                    </w:rPr>
                    <w:t xml:space="preserve">Branch, tag or commit</w:t>
                  </w:r>
                </w:p>
              </w:tc>
              <w:tc>
                <w:tcPr>
                  <w:tcW w:type="dxa" w:w="6880"/>
                  <w:tcMar>
                    <w:top w:type="dxa" w:w="70"/>
                    <w:left w:type="dxa" w:w="100"/>
                    <w:bottom w:type="dxa" w:w="70"/>
                    <w:right w:type="dxa" w:w="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color w:val="5E5E5E"/>
                      <w:sz w:val="19"/>
                      <w:szCs w:val="19"/>
                    </w:rPr>
                    <w:t xml:space="preserve">Only if it is not main — otherwise leave blank and we take main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3000"/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b/>
                      <w:bCs/>
                      <w:color w:val="141414"/>
                      <w:sz w:val="20"/>
                      <w:szCs w:val="20"/>
                    </w:rPr>
                    <w:t xml:space="preserve">Access token</w:t>
                  </w:r>
                </w:p>
              </w:tc>
              <w:tc>
                <w:tcPr>
                  <w:tcW w:type="dxa" w:w="6880"/>
                  <w:tcMar>
                    <w:top w:type="dxa" w:w="70"/>
                    <w:left w:type="dxa" w:w="100"/>
                    <w:bottom w:type="dxa" w:w="70"/>
                    <w:right w:type="dxa" w:w="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color w:val="5E5E5E"/>
                      <w:sz w:val="19"/>
                      <w:szCs w:val="19"/>
                    </w:rPr>
                    <w:t xml:space="preserve">Only if your repo is private — read-only, that one repo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3000"/>
                  <w:tcMar>
                    <w:top w:type="dxa" w:w="70"/>
                    <w:left w:type="dxa" w:w="0"/>
                    <w:bottom w:type="dxa" w:w="70"/>
                    <w:right w:type="dxa" w:w="10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b/>
                      <w:bCs/>
                      <w:color w:val="141414"/>
                      <w:sz w:val="20"/>
                      <w:szCs w:val="20"/>
                    </w:rPr>
                    <w:t xml:space="preserve">Want a preview?</w:t>
                  </w:r>
                </w:p>
              </w:tc>
              <w:tc>
                <w:tcPr>
                  <w:tcW w:type="dxa" w:w="6880"/>
                  <w:tcMar>
                    <w:top w:type="dxa" w:w="70"/>
                    <w:left w:type="dxa" w:w="100"/>
                    <w:bottom w:type="dxa" w:w="70"/>
                    <w:right w:type="dxa" w:w="0"/>
                  </w:tcMar>
                </w:tcPr>
                <w:p>
                  <w:pPr>
                    <w:spacing w:after="0" w:before="0" w:line="228"/>
                  </w:pPr>
                  <w:r>
                    <w:rPr>
                      <w:color w:val="5E5E5E"/>
                      <w:sz w:val="19"/>
                      <w:szCs w:val="19"/>
                    </w:rPr>
                    <w:t xml:space="preserve">Optional: check your repo against Section 5 with your own AI assistant and the VibeCheck spec first. Not scored, not seen by judges.</w:t>
                  </w:r>
                </w:p>
              </w:tc>
            </w:tr>
          </w:tbl>
          <w:p>
            <w:pPr>
              <w:spacing w:after="0" w:before="150" w:line="252"/>
            </w:pPr>
            <w:r>
              <w:rPr>
                <w:b/>
                <w:bCs/>
                <w:color w:val="141414"/>
                <w:sz w:val="20"/>
                <w:szCs w:val="20"/>
              </w:rPr>
              <w:t xml:space="preserve">Submit before the clock stops. </w:t>
            </w:r>
            <w:r>
              <w:rPr>
                <w:color w:val="141414"/>
                <w:sz w:val="20"/>
                <w:szCs w:val="20"/>
              </w:rPr>
              <w:t xml:space="preserve">Anything after that is not reviewed. Give yourself two minutes for it.</w:t>
            </w:r>
          </w:p>
        </w:tc>
      </w:tr>
    </w:tbl>
    <w:p>
      <w:pPr>
        <w:spacing w:after="0"/>
      </w:pPr>
    </w:p>
    <w:p>
      <w:pPr>
        <w:spacing w:after="80" w:before="190"/>
      </w:pPr>
      <w:r>
        <w:rPr>
          <w:b/>
          <w:bCs/>
          <w:color w:val="141414"/>
          <w:sz w:val="25"/>
          <w:szCs w:val="25"/>
        </w:rPr>
        <w:t xml:space="preserve">Judging</w:t>
      </w:r>
      <w:r>
        <w:rPr>
          <w:color w:val="757575"/>
          <w:sz w:val="18"/>
          <w:szCs w:val="18"/>
        </w:rPr>
        <w:t xml:space="preserve">    two ways</w:t>
      </w:r>
    </w:p>
    <w:p>
      <w:pPr>
        <w:pStyle w:val="ListParagraph"/>
        <w:numPr>
          <w:ilvl w:val="0"/>
          <w:numId w:val="2"/>
        </w:numPr>
        <w:spacing w:after="54" w:line="232"/>
      </w:pPr>
      <w:r>
        <w:rPr>
          <w:color w:val="141414"/>
          <w:sz w:val="20"/>
          <w:szCs w:val="20"/>
        </w:rPr>
        <w:t xml:space="preserve">A machine checks your repo against the requirements in the RFP.</w:t>
      </w:r>
    </w:p>
    <w:p>
      <w:pPr>
        <w:pStyle w:val="ListParagraph"/>
        <w:numPr>
          <w:ilvl w:val="0"/>
          <w:numId w:val="2"/>
        </w:numPr>
        <w:spacing w:after="54" w:line="232"/>
      </w:pPr>
      <w:r>
        <w:rPr>
          <w:color w:val="141414"/>
          <w:sz w:val="20"/>
          <w:szCs w:val="20"/>
        </w:rPr>
        <w:t xml:space="preserve">The judges score your repository out of 100.</w:t>
      </w:r>
    </w:p>
    <w:p>
      <w:pPr>
        <w:pStyle w:val="ListParagraph"/>
        <w:numPr>
          <w:ilvl w:val="0"/>
          <w:numId w:val="2"/>
        </w:numPr>
        <w:spacing w:after="54" w:line="232"/>
      </w:pPr>
      <w:r>
        <w:rPr>
          <w:color w:val="141414"/>
          <w:sz w:val="20"/>
          <w:szCs w:val="20"/>
        </w:rPr>
        <w:t xml:space="preserve">Business thinking 25  ·  Design and creativity 25  ·  Execution and scope discipline 30  ·  Voice agent integration 20.</w:t>
      </w:r>
    </w:p>
    <w:p>
      <w:pPr>
        <w:pStyle w:val="ListParagraph"/>
        <w:numPr>
          <w:ilvl w:val="0"/>
          <w:numId w:val="2"/>
        </w:numPr>
        <w:spacing w:after="54" w:line="232"/>
      </w:pPr>
      <w:r>
        <w:rPr>
          <w:color w:val="141414"/>
          <w:sz w:val="20"/>
          <w:szCs w:val="20"/>
        </w:rPr>
        <w:t xml:space="preserve">The humans have the final say.</w:t>
      </w:r>
    </w:p>
    <w:p>
      <w:pPr>
        <w:spacing w:after="170"/>
      </w:pPr>
    </w:p>
    <w:tbl>
      <w:tblPr>
        <w:tblW w:type="dxa" w:w="10440"/>
        <w:tblBorders>
          <w:top w:val="none"/>
          <w:left w:val="single" w:color="141414" w:sz="24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shd w:fill="F3F3F4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before="0" w:line="260"/>
            </w:pPr>
            <w:r>
              <w:rPr>
                <w:b/>
                <w:bCs/>
                <w:color w:val="141414"/>
                <w:sz w:val="21"/>
                <w:szCs w:val="21"/>
              </w:rPr>
              <w:t xml:space="preserve">One rule: lead with the business outcome, not the AI. </w:t>
            </w:r>
            <w:r>
              <w:rPr>
                <w:color w:val="141414"/>
                <w:sz w:val="21"/>
                <w:szCs w:val="21"/>
              </w:rPr>
              <w:t xml:space="preserve">We should be able to open your repository and understand why HoldNote would want this.</w:t>
            </w:r>
          </w:p>
        </w:tc>
      </w:tr>
    </w:tbl>
    <w:p>
      <w:pPr>
        <w:spacing w:before="150"/>
      </w:pPr>
      <w:r>
        <w:rPr>
          <w:color w:val="757575"/>
          <w:sz w:val="15"/>
          <w:szCs w:val="15"/>
        </w:rPr>
        <w:t xml:space="preserve">Full requirements and rubric are in the RFP   ·   Confidential</w:t>
      </w:r>
    </w:p>
    <w:sectPr>
      <w:pgSz w:w="12240" w:h="15840" w:orient="portrait"/>
      <w:pgMar w:top="820" w:right="900" w:bottom="6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Voice Agent Challenge - One Page Brief</dc:title>
  <dc:creator>HoldNote</dc:creator>
  <cp:lastModifiedBy>Un-named</cp:lastModifiedBy>
  <cp:revision>1</cp:revision>
  <dcterms:created xsi:type="dcterms:W3CDTF">2026-08-26T13:25:12.360Z</dcterms:created>
  <dcterms:modified xsi:type="dcterms:W3CDTF">2026-08-26T13:25:12.360Z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