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10080"/>
        <w:tblBorders>
          <w:top w:val="none"/>
          <w:left w:val="none"/>
          <w:bottom w:val="none"/>
          <w:right w:val="none"/>
          <w:insideH w:val="none"/>
          <w:insideV w:val="none"/>
        </w:tblBorders>
      </w:tblPr>
      <w:tblGrid>
        <w:gridCol w:w="760"/>
        <w:gridCol w:w="9320"/>
      </w:tblGrid>
      <w:tr>
        <w:tc>
          <w:tcPr>
            <w:tcW w:type="dxa" w:w="760"/>
            <w:shd w:fill="0E7C86" w:color="auto" w:val="clear"/>
            <w:tcMar>
              <w:top w:type="dxa" w:w="90"/>
              <w:left w:type="dxa" w:w="0"/>
              <w:bottom w:type="dxa" w:w="90"/>
              <w:right w:type="dxa" w:w="0"/>
            </w:tcMar>
            <w:vAlign w:val="center"/>
          </w:tcPr>
          <w:p>
            <w:pPr>
              <w:jc w:val="center"/>
            </w:pPr>
            <w:r>
              <w:rPr>
                <w:sz w:val="30"/>
                <w:szCs w:val="30"/>
              </w:rPr>
              <w:t xml:space="preserve">🎵</w:t>
            </w:r>
          </w:p>
        </w:tc>
        <w:tc>
          <w:tcPr>
            <w:tcW w:type="dxa" w:w="9320"/>
            <w:tcMar>
              <w:top w:type="dxa" w:w="0"/>
              <w:left w:type="dxa" w:w="180"/>
              <w:bottom w:type="dxa" w:w="0"/>
              <w:right w:type="dxa" w:w="0"/>
            </w:tcMar>
            <w:vAlign w:val="center"/>
          </w:tcPr>
          <w:p>
            <w:pPr>
              <w:spacing w:after="10"/>
            </w:pPr>
            <w:r>
              <w:rPr>
                <w:b/>
                <w:bCs/>
                <w:color w:val="0E7C86"/>
                <w:spacing w:val="26"/>
                <w:sz w:val="20"/>
                <w:szCs w:val="20"/>
              </w:rPr>
              <w:t xml:space="preserve">HOLDNOTE</w:t>
            </w:r>
          </w:p>
          <w:p>
            <w:r>
              <w:rPr>
                <w:color w:val="6B6B6B"/>
                <w:sz w:val="15"/>
                <w:szCs w:val="15"/>
              </w:rPr>
              <w:t xml:space="preserve">Custom on-hold audio for small business phone lines</w:t>
            </w:r>
          </w:p>
        </w:tc>
      </w:tr>
    </w:tbl>
    <w:p>
      <w:pPr>
        <w:spacing w:after="320"/>
      </w:pPr>
    </w:p>
    <w:p>
      <w:pPr>
        <w:spacing w:after="50" w:before="0"/>
      </w:pPr>
      <w:r>
        <w:rPr>
          <w:b/>
          <w:bCs/>
          <w:caps/>
          <w:color w:val="0E7C86"/>
          <w:spacing w:val="40"/>
          <w:sz w:val="15"/>
          <w:szCs w:val="15"/>
        </w:rPr>
        <w:t xml:space="preserve">REQUEST FOR PROTOTYPES</w:t>
      </w:r>
    </w:p>
    <w:p>
      <w:pPr>
        <w:spacing w:after="100"/>
      </w:pPr>
      <w:r>
        <w:rPr>
          <w:b/>
          <w:bCs/>
          <w:color w:val="141414"/>
          <w:sz w:val="40"/>
          <w:szCs w:val="40"/>
        </w:rPr>
        <w:t xml:space="preserve">AI Voice Agents for the HoldNote Queue</w:t>
      </w:r>
    </w:p>
    <w:p>
      <w:pPr>
        <w:spacing w:after="340"/>
      </w:pPr>
      <w:r>
        <w:rPr>
          <w:color w:val="6B6B6B"/>
          <w:sz w:val="20"/>
          <w:szCs w:val="20"/>
        </w:rPr>
        <w:t xml:space="preserve">A 20-minute build challenge</w:t>
      </w:r>
    </w:p>
    <w:tbl>
      <w:tblPr>
        <w:tblW w:type="dxa" w:w="10080"/>
        <w:tblBorders>
          <w:top w:val="single" w:color="D9D9D9" w:sz="4"/>
          <w:left w:val="none"/>
          <w:bottom w:val="single" w:color="D9D9D9" w:sz="4"/>
          <w:right w:val="none"/>
          <w:insideH w:val="single" w:color="D9D9D9" w:sz="2"/>
          <w:insideV w:val="none"/>
        </w:tblBorders>
      </w:tblPr>
      <w:tblGrid>
        <w:gridCol w:w="2400"/>
        <w:gridCol w:w="7680"/>
      </w:tblGrid>
      <w:tr>
        <w:trPr>
          <w:tblHeader/>
        </w:trPr>
        <w:tc>
          <w:tcPr>
            <w:tcW w:type="dxa" w:w="2400"/>
            <w:shd w:fill="0A5860" w:color="auto" w:val="clear"/>
            <w:tcMar>
              <w:top w:type="dxa" w:w="90"/>
              <w:left w:type="dxa" w:w="130"/>
              <w:bottom w:type="dxa" w:w="90"/>
              <w:right w:type="dxa" w:w="130"/>
            </w:tcMar>
            <w:vAlign w:val="top"/>
          </w:tcPr>
          <w:p>
            <w:pPr>
              <w:spacing w:after="0" w:before="0" w:line="250"/>
            </w:pPr>
            <w:r>
              <w:rPr>
                <w:b/>
                <w:bCs/>
                <w:color w:val="FFFFFF"/>
                <w:sz w:val="17"/>
                <w:szCs w:val="17"/>
              </w:rPr>
              <w:t xml:space="preserve"/>
            </w:r>
          </w:p>
        </w:tc>
        <w:tc>
          <w:tcPr>
            <w:tcW w:type="dxa" w:w="7680"/>
            <w:shd w:fill="0A5860" w:color="auto" w:val="clear"/>
            <w:tcMar>
              <w:top w:type="dxa" w:w="90"/>
              <w:left w:type="dxa" w:w="130"/>
              <w:bottom w:type="dxa" w:w="90"/>
              <w:right w:type="dxa" w:w="130"/>
            </w:tcMar>
            <w:vAlign w:val="top"/>
          </w:tcPr>
          <w:p>
            <w:pPr>
              <w:spacing w:after="0" w:before="0" w:line="250"/>
            </w:pPr>
            <w:r>
              <w:rPr>
                <w:b/>
                <w:bCs/>
                <w:color w:val="FFFFFF"/>
                <w:sz w:val="17"/>
                <w:szCs w:val="17"/>
              </w:rPr>
              <w:t xml:space="preserve"/>
            </w:r>
          </w:p>
        </w:tc>
      </w:tr>
      <w:tr>
        <w:tc>
          <w:tcPr>
            <w:tcW w:type="dxa" w:w="2400"/>
            <w:tcMar>
              <w:top w:type="dxa" w:w="90"/>
              <w:left w:type="dxa" w:w="130"/>
              <w:bottom w:type="dxa" w:w="90"/>
              <w:right w:type="dxa" w:w="130"/>
            </w:tcMar>
            <w:vAlign w:val="top"/>
          </w:tcPr>
          <w:p>
            <w:pPr>
              <w:spacing w:after="0" w:before="0" w:line="250"/>
            </w:pPr>
            <w:r>
              <w:rPr>
                <w:color w:val="141414"/>
                <w:sz w:val="18"/>
                <w:szCs w:val="18"/>
              </w:rPr>
              <w:t xml:space="preserve">Issued by</w:t>
            </w:r>
          </w:p>
        </w:tc>
        <w:tc>
          <w:tcPr>
            <w:tcW w:type="dxa" w:w="7680"/>
            <w:tcMar>
              <w:top w:type="dxa" w:w="90"/>
              <w:left w:type="dxa" w:w="130"/>
              <w:bottom w:type="dxa" w:w="90"/>
              <w:right w:type="dxa" w:w="130"/>
            </w:tcMar>
            <w:vAlign w:val="top"/>
          </w:tcPr>
          <w:p>
            <w:pPr>
              <w:spacing w:after="0" w:before="0" w:line="250"/>
            </w:pPr>
            <w:r>
              <w:rPr>
                <w:color w:val="141414"/>
                <w:sz w:val="18"/>
                <w:szCs w:val="18"/>
              </w:rPr>
              <w:t xml:space="preserve">HoldNote</w:t>
            </w:r>
          </w:p>
        </w:tc>
      </w:tr>
      <w:tr>
        <w:tc>
          <w:tcPr>
            <w:tcW w:type="dxa" w:w="2400"/>
            <w:shd w:fill="F2F8F8" w:color="auto" w:val="clear"/>
            <w:tcMar>
              <w:top w:type="dxa" w:w="90"/>
              <w:left w:type="dxa" w:w="130"/>
              <w:bottom w:type="dxa" w:w="90"/>
              <w:right w:type="dxa" w:w="130"/>
            </w:tcMar>
            <w:vAlign w:val="top"/>
          </w:tcPr>
          <w:p>
            <w:pPr>
              <w:spacing w:after="0" w:before="0" w:line="250"/>
            </w:pPr>
            <w:r>
              <w:rPr>
                <w:color w:val="141414"/>
                <w:sz w:val="18"/>
                <w:szCs w:val="18"/>
              </w:rPr>
              <w:t xml:space="preserve">Document</w:t>
            </w:r>
          </w:p>
        </w:tc>
        <w:tc>
          <w:tcPr>
            <w:tcW w:type="dxa" w:w="7680"/>
            <w:shd w:fill="F2F8F8" w:color="auto" w:val="clear"/>
            <w:tcMar>
              <w:top w:type="dxa" w:w="90"/>
              <w:left w:type="dxa" w:w="130"/>
              <w:bottom w:type="dxa" w:w="90"/>
              <w:right w:type="dxa" w:w="130"/>
            </w:tcMar>
            <w:vAlign w:val="top"/>
          </w:tcPr>
          <w:p>
            <w:pPr>
              <w:spacing w:after="0" w:before="0" w:line="250"/>
            </w:pPr>
            <w:r>
              <w:rPr>
                <w:color w:val="141414"/>
                <w:sz w:val="18"/>
                <w:szCs w:val="18"/>
              </w:rPr>
              <w:t xml:space="preserve">Request for Prototypes — AI Voice Agent Challenge</w:t>
            </w:r>
          </w:p>
        </w:tc>
      </w:tr>
      <w:tr>
        <w:tc>
          <w:tcPr>
            <w:tcW w:type="dxa" w:w="2400"/>
            <w:tcMar>
              <w:top w:type="dxa" w:w="90"/>
              <w:left w:type="dxa" w:w="130"/>
              <w:bottom w:type="dxa" w:w="90"/>
              <w:right w:type="dxa" w:w="130"/>
            </w:tcMar>
            <w:vAlign w:val="top"/>
          </w:tcPr>
          <w:p>
            <w:pPr>
              <w:spacing w:after="0" w:before="0" w:line="250"/>
            </w:pPr>
            <w:r>
              <w:rPr>
                <w:color w:val="141414"/>
                <w:sz w:val="18"/>
                <w:szCs w:val="18"/>
              </w:rPr>
              <w:t xml:space="preserve">Format</w:t>
            </w:r>
          </w:p>
        </w:tc>
        <w:tc>
          <w:tcPr>
            <w:tcW w:type="dxa" w:w="7680"/>
            <w:tcMar>
              <w:top w:type="dxa" w:w="90"/>
              <w:left w:type="dxa" w:w="130"/>
              <w:bottom w:type="dxa" w:w="90"/>
              <w:right w:type="dxa" w:w="130"/>
            </w:tcMar>
            <w:vAlign w:val="top"/>
          </w:tcPr>
          <w:p>
            <w:pPr>
              <w:spacing w:after="0" w:before="0" w:line="250"/>
            </w:pPr>
            <w:r>
              <w:rPr>
                <w:color w:val="141414"/>
                <w:sz w:val="18"/>
                <w:szCs w:val="18"/>
              </w:rPr>
              <w:t xml:space="preserve">A 20-minute live build sprint. AI-assisted development is expected.</w:t>
            </w:r>
          </w:p>
        </w:tc>
      </w:tr>
      <w:tr>
        <w:tc>
          <w:tcPr>
            <w:tcW w:type="dxa" w:w="2400"/>
            <w:shd w:fill="F2F8F8" w:color="auto" w:val="clear"/>
            <w:tcMar>
              <w:top w:type="dxa" w:w="90"/>
              <w:left w:type="dxa" w:w="130"/>
              <w:bottom w:type="dxa" w:w="90"/>
              <w:right w:type="dxa" w:w="130"/>
            </w:tcMar>
            <w:vAlign w:val="top"/>
          </w:tcPr>
          <w:p>
            <w:pPr>
              <w:spacing w:after="0" w:before="0" w:line="250"/>
            </w:pPr>
            <w:r>
              <w:rPr>
                <w:color w:val="141414"/>
                <w:sz w:val="18"/>
                <w:szCs w:val="18"/>
              </w:rPr>
              <w:t xml:space="preserve">Build window</w:t>
            </w:r>
          </w:p>
        </w:tc>
        <w:tc>
          <w:tcPr>
            <w:tcW w:type="dxa" w:w="7680"/>
            <w:shd w:fill="F2F8F8" w:color="auto" w:val="clear"/>
            <w:tcMar>
              <w:top w:type="dxa" w:w="90"/>
              <w:left w:type="dxa" w:w="130"/>
              <w:bottom w:type="dxa" w:w="90"/>
              <w:right w:type="dxa" w:w="130"/>
            </w:tcMar>
            <w:vAlign w:val="top"/>
          </w:tcPr>
          <w:p>
            <w:pPr>
              <w:spacing w:after="0" w:before="0" w:line="250"/>
            </w:pPr>
            <w:r>
              <w:rPr>
                <w:color w:val="141414"/>
                <w:sz w:val="18"/>
                <w:szCs w:val="18"/>
              </w:rPr>
              <w:t xml:space="preserve">20 minutes from kickoff. No extensions.</w:t>
            </w:r>
          </w:p>
        </w:tc>
      </w:tr>
      <w:tr>
        <w:tc>
          <w:tcPr>
            <w:tcW w:type="dxa" w:w="2400"/>
            <w:tcMar>
              <w:top w:type="dxa" w:w="90"/>
              <w:left w:type="dxa" w:w="130"/>
              <w:bottom w:type="dxa" w:w="90"/>
              <w:right w:type="dxa" w:w="130"/>
            </w:tcMar>
            <w:vAlign w:val="top"/>
          </w:tcPr>
          <w:p>
            <w:pPr>
              <w:spacing w:after="0" w:before="0" w:line="250"/>
            </w:pPr>
            <w:r>
              <w:rPr>
                <w:color w:val="141414"/>
                <w:sz w:val="18"/>
                <w:szCs w:val="18"/>
              </w:rPr>
              <w:t xml:space="preserve">What you submit</w:t>
            </w:r>
          </w:p>
        </w:tc>
        <w:tc>
          <w:tcPr>
            <w:tcW w:type="dxa" w:w="7680"/>
            <w:tcMar>
              <w:top w:type="dxa" w:w="90"/>
              <w:left w:type="dxa" w:w="130"/>
              <w:bottom w:type="dxa" w:w="90"/>
              <w:right w:type="dxa" w:w="130"/>
            </w:tcMar>
            <w:vAlign w:val="top"/>
          </w:tcPr>
          <w:p>
            <w:pPr>
              <w:spacing w:after="0" w:before="0" w:line="250"/>
            </w:pPr>
            <w:r>
              <w:rPr>
                <w:color w:val="141414"/>
                <w:sz w:val="18"/>
                <w:szCs w:val="18"/>
              </w:rPr>
              <w:t xml:space="preserve">A GitHub repository. Nothing else.</w:t>
            </w:r>
          </w:p>
        </w:tc>
      </w:tr>
      <w:tr>
        <w:tc>
          <w:tcPr>
            <w:tcW w:type="dxa" w:w="2400"/>
            <w:shd w:fill="F2F8F8" w:color="auto" w:val="clear"/>
            <w:tcMar>
              <w:top w:type="dxa" w:w="90"/>
              <w:left w:type="dxa" w:w="130"/>
              <w:bottom w:type="dxa" w:w="90"/>
              <w:right w:type="dxa" w:w="130"/>
            </w:tcMar>
            <w:vAlign w:val="top"/>
          </w:tcPr>
          <w:p>
            <w:pPr>
              <w:spacing w:after="0" w:before="0" w:line="250"/>
            </w:pPr>
            <w:r>
              <w:rPr>
                <w:color w:val="141414"/>
                <w:sz w:val="18"/>
                <w:szCs w:val="18"/>
              </w:rPr>
              <w:t xml:space="preserve">How it is scored</w:t>
            </w:r>
          </w:p>
        </w:tc>
        <w:tc>
          <w:tcPr>
            <w:tcW w:type="dxa" w:w="7680"/>
            <w:shd w:fill="F2F8F8" w:color="auto" w:val="clear"/>
            <w:tcMar>
              <w:top w:type="dxa" w:w="90"/>
              <w:left w:type="dxa" w:w="130"/>
              <w:bottom w:type="dxa" w:w="90"/>
              <w:right w:type="dxa" w:w="130"/>
            </w:tcMar>
            <w:vAlign w:val="top"/>
          </w:tcPr>
          <w:p>
            <w:pPr>
              <w:spacing w:after="0" w:before="0" w:line="250"/>
            </w:pPr>
            <w:r>
              <w:rPr>
                <w:color w:val="141414"/>
                <w:sz w:val="18"/>
                <w:szCs w:val="18"/>
              </w:rPr>
              <w:t xml:space="preserve">Automated review against Section 5, plus human review of your repository.</w:t>
            </w:r>
          </w:p>
        </w:tc>
      </w:tr>
    </w:tbl>
    <w:p>
      <w:pPr>
        <w:spacing w:after="220"/>
      </w:pPr>
    </w:p>
    <w:p>
      <w:pPr>
        <w:spacing w:after="0" w:before="0" w:line="276"/>
      </w:pPr>
      <w:r>
        <w:rPr>
          <w:b/>
          <w:bCs/>
          <w:color w:val="6B6B6B"/>
          <w:sz w:val="16"/>
          <w:szCs w:val="16"/>
        </w:rPr>
        <w:t xml:space="preserve">Confidential. </w:t>
      </w:r>
      <w:r>
        <w:rPr>
          <w:color w:val="6B6B6B"/>
          <w:sz w:val="16"/>
          <w:szCs w:val="16"/>
        </w:rPr>
        <w:t xml:space="preserve">Prepared for challenge participants; do not redistribute.</w:t>
      </w:r>
    </w:p>
    <w:p>
      <w:r>
        <w:br w:type="page"/>
      </w:r>
    </w:p>
    <w:p>
      <w:pPr>
        <w:spacing w:after="50" w:before="0"/>
      </w:pPr>
      <w:r>
        <w:rPr>
          <w:b/>
          <w:bCs/>
          <w:caps/>
          <w:color w:val="0E7C86"/>
          <w:spacing w:val="40"/>
          <w:sz w:val="15"/>
          <w:szCs w:val="15"/>
        </w:rPr>
        <w:t xml:space="preserve">CONTENTS</w:t>
      </w:r>
    </w:p>
    <w:p>
      <w:pPr>
        <w:spacing w:after="220"/>
      </w:pPr>
      <w:r>
        <w:rPr>
          <w:b/>
          <w:bCs/>
          <w:color w:val="141414"/>
          <w:sz w:val="27"/>
          <w:szCs w:val="27"/>
        </w:rPr>
        <w:t xml:space="preserve">What is in this document</w:t>
      </w:r>
    </w:p>
    <w:tbl>
      <w:tblPr>
        <w:tblW w:type="dxa" w:w="10080"/>
        <w:tblBorders>
          <w:top w:val="single" w:color="D9D9D9" w:sz="4"/>
          <w:left w:val="none"/>
          <w:bottom w:val="single" w:color="D9D9D9" w:sz="4"/>
          <w:right w:val="none"/>
          <w:insideH w:val="single" w:color="D9D9D9" w:sz="2"/>
          <w:insideV w:val="none"/>
        </w:tblBorders>
      </w:tblPr>
      <w:tblGrid>
        <w:gridCol w:w="700"/>
        <w:gridCol w:w="2600"/>
        <w:gridCol w:w="6780"/>
      </w:tblGrid>
      <w:tr>
        <w:trPr>
          <w:tblHeader/>
        </w:trPr>
        <w:tc>
          <w:tcPr>
            <w:tcW w:type="dxa" w:w="700"/>
            <w:shd w:fill="0A5860" w:color="auto" w:val="clear"/>
            <w:tcMar>
              <w:top w:type="dxa" w:w="90"/>
              <w:left w:type="dxa" w:w="130"/>
              <w:bottom w:type="dxa" w:w="90"/>
              <w:right w:type="dxa" w:w="130"/>
            </w:tcMar>
            <w:vAlign w:val="top"/>
          </w:tcPr>
          <w:p>
            <w:pPr>
              <w:spacing w:after="0" w:before="0" w:line="250"/>
            </w:pPr>
            <w:r>
              <w:rPr>
                <w:b/>
                <w:bCs/>
                <w:color w:val="FFFFFF"/>
                <w:sz w:val="17"/>
                <w:szCs w:val="17"/>
              </w:rPr>
              <w:t xml:space="preserve">§</w:t>
            </w:r>
          </w:p>
        </w:tc>
        <w:tc>
          <w:tcPr>
            <w:tcW w:type="dxa" w:w="2600"/>
            <w:shd w:fill="0A5860" w:color="auto" w:val="clear"/>
            <w:tcMar>
              <w:top w:type="dxa" w:w="90"/>
              <w:left w:type="dxa" w:w="130"/>
              <w:bottom w:type="dxa" w:w="90"/>
              <w:right w:type="dxa" w:w="130"/>
            </w:tcMar>
            <w:vAlign w:val="top"/>
          </w:tcPr>
          <w:p>
            <w:pPr>
              <w:spacing w:after="0" w:before="0" w:line="250"/>
            </w:pPr>
            <w:r>
              <w:rPr>
                <w:b/>
                <w:bCs/>
                <w:color w:val="FFFFFF"/>
                <w:sz w:val="17"/>
                <w:szCs w:val="17"/>
              </w:rPr>
              <w:t xml:space="preserve">Section</w:t>
            </w:r>
          </w:p>
        </w:tc>
        <w:tc>
          <w:tcPr>
            <w:tcW w:type="dxa" w:w="6780"/>
            <w:shd w:fill="0A5860" w:color="auto" w:val="clear"/>
            <w:tcMar>
              <w:top w:type="dxa" w:w="90"/>
              <w:left w:type="dxa" w:w="130"/>
              <w:bottom w:type="dxa" w:w="90"/>
              <w:right w:type="dxa" w:w="130"/>
            </w:tcMar>
            <w:vAlign w:val="top"/>
          </w:tcPr>
          <w:p>
            <w:pPr>
              <w:spacing w:after="0" w:before="0" w:line="250"/>
            </w:pPr>
            <w:r>
              <w:rPr>
                <w:b/>
                <w:bCs/>
                <w:color w:val="FFFFFF"/>
                <w:sz w:val="17"/>
                <w:szCs w:val="17"/>
              </w:rPr>
              <w:t xml:space="preserve">What it covers</w:t>
            </w:r>
          </w:p>
        </w:tc>
      </w:tr>
      <w:tr>
        <w:tc>
          <w:tcPr>
            <w:tcW w:type="dxa" w:w="700"/>
            <w:tcMar>
              <w:top w:type="dxa" w:w="90"/>
              <w:left w:type="dxa" w:w="130"/>
              <w:bottom w:type="dxa" w:w="90"/>
              <w:right w:type="dxa" w:w="130"/>
            </w:tcMar>
            <w:vAlign w:val="top"/>
          </w:tcPr>
          <w:p>
            <w:pPr>
              <w:spacing w:after="0" w:before="0" w:line="250"/>
            </w:pPr>
            <w:r>
              <w:rPr>
                <w:color w:val="141414"/>
                <w:sz w:val="18"/>
                <w:szCs w:val="18"/>
              </w:rPr>
              <w:t xml:space="preserve">1</w:t>
            </w:r>
          </w:p>
        </w:tc>
        <w:tc>
          <w:tcPr>
            <w:tcW w:type="dxa" w:w="2600"/>
            <w:tcMar>
              <w:top w:type="dxa" w:w="90"/>
              <w:left w:type="dxa" w:w="130"/>
              <w:bottom w:type="dxa" w:w="90"/>
              <w:right w:type="dxa" w:w="130"/>
            </w:tcMar>
            <w:vAlign w:val="top"/>
          </w:tcPr>
          <w:p>
            <w:pPr>
              <w:spacing w:after="0" w:before="0" w:line="250"/>
            </w:pPr>
            <w:r>
              <w:rPr>
                <w:color w:val="141414"/>
                <w:sz w:val="18"/>
                <w:szCs w:val="18"/>
              </w:rPr>
              <w:t xml:space="preserve">The Business</w:t>
            </w:r>
          </w:p>
        </w:tc>
        <w:tc>
          <w:tcPr>
            <w:tcW w:type="dxa" w:w="6780"/>
            <w:tcMar>
              <w:top w:type="dxa" w:w="90"/>
              <w:left w:type="dxa" w:w="130"/>
              <w:bottom w:type="dxa" w:w="90"/>
              <w:right w:type="dxa" w:w="130"/>
            </w:tcMar>
            <w:vAlign w:val="top"/>
          </w:tcPr>
          <w:p>
            <w:pPr>
              <w:spacing w:after="0" w:before="0" w:line="250"/>
            </w:pPr>
            <w:r>
              <w:rPr>
                <w:color w:val="141414"/>
                <w:sz w:val="18"/>
                <w:szCs w:val="18"/>
              </w:rPr>
              <w:t xml:space="preserve">Who HoldNote is, how it runs, and the constraint that shapes everything.</w:t>
            </w:r>
          </w:p>
        </w:tc>
      </w:tr>
      <w:tr>
        <w:tc>
          <w:tcPr>
            <w:tcW w:type="dxa" w:w="700"/>
            <w:shd w:fill="F2F8F8" w:color="auto" w:val="clear"/>
            <w:tcMar>
              <w:top w:type="dxa" w:w="90"/>
              <w:left w:type="dxa" w:w="130"/>
              <w:bottom w:type="dxa" w:w="90"/>
              <w:right w:type="dxa" w:w="130"/>
            </w:tcMar>
            <w:vAlign w:val="top"/>
          </w:tcPr>
          <w:p>
            <w:pPr>
              <w:spacing w:after="0" w:before="0" w:line="250"/>
            </w:pPr>
            <w:r>
              <w:rPr>
                <w:color w:val="141414"/>
                <w:sz w:val="18"/>
                <w:szCs w:val="18"/>
              </w:rPr>
              <w:t xml:space="preserve">2</w:t>
            </w:r>
          </w:p>
        </w:tc>
        <w:tc>
          <w:tcPr>
            <w:tcW w:type="dxa" w:w="2600"/>
            <w:shd w:fill="F2F8F8" w:color="auto" w:val="clear"/>
            <w:tcMar>
              <w:top w:type="dxa" w:w="90"/>
              <w:left w:type="dxa" w:w="130"/>
              <w:bottom w:type="dxa" w:w="90"/>
              <w:right w:type="dxa" w:w="130"/>
            </w:tcMar>
            <w:vAlign w:val="top"/>
          </w:tcPr>
          <w:p>
            <w:pPr>
              <w:spacing w:after="0" w:before="0" w:line="250"/>
            </w:pPr>
            <w:r>
              <w:rPr>
                <w:color w:val="141414"/>
                <w:sz w:val="18"/>
                <w:szCs w:val="18"/>
              </w:rPr>
              <w:t xml:space="preserve">The Challenge</w:t>
            </w:r>
          </w:p>
        </w:tc>
        <w:tc>
          <w:tcPr>
            <w:tcW w:type="dxa" w:w="6780"/>
            <w:shd w:fill="F2F8F8" w:color="auto" w:val="clear"/>
            <w:tcMar>
              <w:top w:type="dxa" w:w="90"/>
              <w:left w:type="dxa" w:w="130"/>
              <w:bottom w:type="dxa" w:w="90"/>
              <w:right w:type="dxa" w:w="130"/>
            </w:tcMar>
            <w:vAlign w:val="top"/>
          </w:tcPr>
          <w:p>
            <w:pPr>
              <w:spacing w:after="0" w:before="0" w:line="250"/>
            </w:pPr>
            <w:r>
              <w:rPr>
                <w:color w:val="141414"/>
                <w:sz w:val="18"/>
                <w:szCs w:val="18"/>
              </w:rPr>
              <w:t xml:space="preserve">What you are building, and the one outcome to aim for.</w:t>
            </w:r>
          </w:p>
        </w:tc>
      </w:tr>
      <w:tr>
        <w:tc>
          <w:tcPr>
            <w:tcW w:type="dxa" w:w="700"/>
            <w:tcMar>
              <w:top w:type="dxa" w:w="90"/>
              <w:left w:type="dxa" w:w="130"/>
              <w:bottom w:type="dxa" w:w="90"/>
              <w:right w:type="dxa" w:w="130"/>
            </w:tcMar>
            <w:vAlign w:val="top"/>
          </w:tcPr>
          <w:p>
            <w:pPr>
              <w:spacing w:after="0" w:before="0" w:line="250"/>
            </w:pPr>
            <w:r>
              <w:rPr>
                <w:color w:val="141414"/>
                <w:sz w:val="18"/>
                <w:szCs w:val="18"/>
              </w:rPr>
              <w:t xml:space="preserve">3</w:t>
            </w:r>
          </w:p>
        </w:tc>
        <w:tc>
          <w:tcPr>
            <w:tcW w:type="dxa" w:w="2600"/>
            <w:tcMar>
              <w:top w:type="dxa" w:w="90"/>
              <w:left w:type="dxa" w:w="130"/>
              <w:bottom w:type="dxa" w:w="90"/>
              <w:right w:type="dxa" w:w="130"/>
            </w:tcMar>
            <w:vAlign w:val="top"/>
          </w:tcPr>
          <w:p>
            <w:pPr>
              <w:spacing w:after="0" w:before="0" w:line="250"/>
            </w:pPr>
            <w:r>
              <w:rPr>
                <w:color w:val="141414"/>
                <w:sz w:val="18"/>
                <w:szCs w:val="18"/>
              </w:rPr>
              <w:t xml:space="preserve">Think About This First</w:t>
            </w:r>
          </w:p>
        </w:tc>
        <w:tc>
          <w:tcPr>
            <w:tcW w:type="dxa" w:w="6780"/>
            <w:tcMar>
              <w:top w:type="dxa" w:w="90"/>
              <w:left w:type="dxa" w:w="130"/>
              <w:bottom w:type="dxa" w:w="90"/>
              <w:right w:type="dxa" w:w="130"/>
            </w:tcMar>
            <w:vAlign w:val="top"/>
          </w:tcPr>
          <w:p>
            <w:pPr>
              <w:spacing w:after="0" w:before="0" w:line="250"/>
            </w:pPr>
            <w:r>
              <w:rPr>
                <w:color w:val="141414"/>
                <w:sz w:val="18"/>
                <w:szCs w:val="18"/>
              </w:rPr>
              <w:t xml:space="preserve">Five questions to sit with before you open an editor. Not a deliverable.</w:t>
            </w:r>
          </w:p>
        </w:tc>
      </w:tr>
      <w:tr>
        <w:tc>
          <w:tcPr>
            <w:tcW w:type="dxa" w:w="700"/>
            <w:shd w:fill="F2F8F8" w:color="auto" w:val="clear"/>
            <w:tcMar>
              <w:top w:type="dxa" w:w="90"/>
              <w:left w:type="dxa" w:w="130"/>
              <w:bottom w:type="dxa" w:w="90"/>
              <w:right w:type="dxa" w:w="130"/>
            </w:tcMar>
            <w:vAlign w:val="top"/>
          </w:tcPr>
          <w:p>
            <w:pPr>
              <w:spacing w:after="0" w:before="0" w:line="250"/>
            </w:pPr>
            <w:r>
              <w:rPr>
                <w:color w:val="141414"/>
                <w:sz w:val="18"/>
                <w:szCs w:val="18"/>
              </w:rPr>
              <w:t xml:space="preserve">4</w:t>
            </w:r>
          </w:p>
        </w:tc>
        <w:tc>
          <w:tcPr>
            <w:tcW w:type="dxa" w:w="2600"/>
            <w:shd w:fill="F2F8F8" w:color="auto" w:val="clear"/>
            <w:tcMar>
              <w:top w:type="dxa" w:w="90"/>
              <w:left w:type="dxa" w:w="130"/>
              <w:bottom w:type="dxa" w:w="90"/>
              <w:right w:type="dxa" w:w="130"/>
            </w:tcMar>
            <w:vAlign w:val="top"/>
          </w:tcPr>
          <w:p>
            <w:pPr>
              <w:spacing w:after="0" w:before="0" w:line="250"/>
            </w:pPr>
            <w:r>
              <w:rPr>
                <w:color w:val="141414"/>
                <w:sz w:val="18"/>
                <w:szCs w:val="18"/>
              </w:rPr>
              <w:t xml:space="preserve">Build</w:t>
            </w:r>
          </w:p>
        </w:tc>
        <w:tc>
          <w:tcPr>
            <w:tcW w:type="dxa" w:w="6780"/>
            <w:shd w:fill="F2F8F8" w:color="auto" w:val="clear"/>
            <w:tcMar>
              <w:top w:type="dxa" w:w="90"/>
              <w:left w:type="dxa" w:w="130"/>
              <w:bottom w:type="dxa" w:w="90"/>
              <w:right w:type="dxa" w:w="130"/>
            </w:tcMar>
            <w:vAlign w:val="top"/>
          </w:tcPr>
          <w:p>
            <w:pPr>
              <w:spacing w:after="0" w:before="0" w:line="250"/>
            </w:pPr>
            <w:r>
              <w:rPr>
                <w:color w:val="141414"/>
                <w:sz w:val="18"/>
                <w:szCs w:val="18"/>
              </w:rPr>
              <w:t xml:space="preserve">The 20-minute build window and its rules.</w:t>
            </w:r>
          </w:p>
        </w:tc>
      </w:tr>
      <w:tr>
        <w:tc>
          <w:tcPr>
            <w:tcW w:type="dxa" w:w="700"/>
            <w:tcMar>
              <w:top w:type="dxa" w:w="90"/>
              <w:left w:type="dxa" w:w="130"/>
              <w:bottom w:type="dxa" w:w="90"/>
              <w:right w:type="dxa" w:w="130"/>
            </w:tcMar>
            <w:vAlign w:val="top"/>
          </w:tcPr>
          <w:p>
            <w:pPr>
              <w:spacing w:after="0" w:before="0" w:line="250"/>
            </w:pPr>
            <w:r>
              <w:rPr>
                <w:color w:val="141414"/>
                <w:sz w:val="18"/>
                <w:szCs w:val="18"/>
              </w:rPr>
              <w:t xml:space="preserve">5</w:t>
            </w:r>
          </w:p>
        </w:tc>
        <w:tc>
          <w:tcPr>
            <w:tcW w:type="dxa" w:w="2600"/>
            <w:tcMar>
              <w:top w:type="dxa" w:w="90"/>
              <w:left w:type="dxa" w:w="130"/>
              <w:bottom w:type="dxa" w:w="90"/>
              <w:right w:type="dxa" w:w="130"/>
            </w:tcMar>
            <w:vAlign w:val="top"/>
          </w:tcPr>
          <w:p>
            <w:pPr>
              <w:spacing w:after="0" w:before="0" w:line="250"/>
            </w:pPr>
            <w:r>
              <w:rPr>
                <w:color w:val="141414"/>
                <w:sz w:val="18"/>
                <w:szCs w:val="18"/>
              </w:rPr>
              <w:t xml:space="preserve">Requirements</w:t>
            </w:r>
          </w:p>
        </w:tc>
        <w:tc>
          <w:tcPr>
            <w:tcW w:type="dxa" w:w="6780"/>
            <w:tcMar>
              <w:top w:type="dxa" w:w="90"/>
              <w:left w:type="dxa" w:w="130"/>
              <w:bottom w:type="dxa" w:w="90"/>
              <w:right w:type="dxa" w:w="130"/>
            </w:tcMar>
            <w:vAlign w:val="top"/>
          </w:tcPr>
          <w:p>
            <w:pPr>
              <w:spacing w:after="0" w:before="0" w:line="250"/>
            </w:pPr>
            <w:r>
              <w:rPr>
                <w:color w:val="141414"/>
                <w:sz w:val="18"/>
                <w:szCs w:val="18"/>
              </w:rPr>
              <w:t xml:space="preserve">Mandatory and optional requirements.</w:t>
            </w:r>
          </w:p>
        </w:tc>
      </w:tr>
      <w:tr>
        <w:tc>
          <w:tcPr>
            <w:tcW w:type="dxa" w:w="700"/>
            <w:shd w:fill="F2F8F8" w:color="auto" w:val="clear"/>
            <w:tcMar>
              <w:top w:type="dxa" w:w="90"/>
              <w:left w:type="dxa" w:w="130"/>
              <w:bottom w:type="dxa" w:w="90"/>
              <w:right w:type="dxa" w:w="130"/>
            </w:tcMar>
            <w:vAlign w:val="top"/>
          </w:tcPr>
          <w:p>
            <w:pPr>
              <w:spacing w:after="0" w:before="0" w:line="250"/>
            </w:pPr>
            <w:r>
              <w:rPr>
                <w:color w:val="141414"/>
                <w:sz w:val="18"/>
                <w:szCs w:val="18"/>
              </w:rPr>
              <w:t xml:space="preserve">6</w:t>
            </w:r>
          </w:p>
        </w:tc>
        <w:tc>
          <w:tcPr>
            <w:tcW w:type="dxa" w:w="2600"/>
            <w:shd w:fill="F2F8F8" w:color="auto" w:val="clear"/>
            <w:tcMar>
              <w:top w:type="dxa" w:w="90"/>
              <w:left w:type="dxa" w:w="130"/>
              <w:bottom w:type="dxa" w:w="90"/>
              <w:right w:type="dxa" w:w="130"/>
            </w:tcMar>
            <w:vAlign w:val="top"/>
          </w:tcPr>
          <w:p>
            <w:pPr>
              <w:spacing w:after="0" w:before="0" w:line="250"/>
            </w:pPr>
            <w:r>
              <w:rPr>
                <w:color w:val="141414"/>
                <w:sz w:val="18"/>
                <w:szCs w:val="18"/>
              </w:rPr>
              <w:t xml:space="preserve">Submission</w:t>
            </w:r>
          </w:p>
        </w:tc>
        <w:tc>
          <w:tcPr>
            <w:tcW w:type="dxa" w:w="6780"/>
            <w:shd w:fill="F2F8F8" w:color="auto" w:val="clear"/>
            <w:tcMar>
              <w:top w:type="dxa" w:w="90"/>
              <w:left w:type="dxa" w:w="130"/>
              <w:bottom w:type="dxa" w:w="90"/>
              <w:right w:type="dxa" w:w="130"/>
            </w:tcMar>
            <w:vAlign w:val="top"/>
          </w:tcPr>
          <w:p>
            <w:pPr>
              <w:spacing w:after="0" w:before="0" w:line="250"/>
            </w:pPr>
            <w:r>
              <w:rPr>
                <w:color w:val="141414"/>
                <w:sz w:val="18"/>
                <w:szCs w:val="18"/>
              </w:rPr>
              <w:t xml:space="preserve">What to submit, the form, and an optional self-test against the grader.</w:t>
            </w:r>
          </w:p>
        </w:tc>
      </w:tr>
      <w:tr>
        <w:tc>
          <w:tcPr>
            <w:tcW w:type="dxa" w:w="700"/>
            <w:tcMar>
              <w:top w:type="dxa" w:w="90"/>
              <w:left w:type="dxa" w:w="130"/>
              <w:bottom w:type="dxa" w:w="90"/>
              <w:right w:type="dxa" w:w="130"/>
            </w:tcMar>
            <w:vAlign w:val="top"/>
          </w:tcPr>
          <w:p>
            <w:pPr>
              <w:spacing w:after="0" w:before="0" w:line="250"/>
            </w:pPr>
            <w:r>
              <w:rPr>
                <w:color w:val="141414"/>
                <w:sz w:val="18"/>
                <w:szCs w:val="18"/>
              </w:rPr>
              <w:t xml:space="preserve">7</w:t>
            </w:r>
          </w:p>
        </w:tc>
        <w:tc>
          <w:tcPr>
            <w:tcW w:type="dxa" w:w="2600"/>
            <w:tcMar>
              <w:top w:type="dxa" w:w="90"/>
              <w:left w:type="dxa" w:w="130"/>
              <w:bottom w:type="dxa" w:w="90"/>
              <w:right w:type="dxa" w:w="130"/>
            </w:tcMar>
            <w:vAlign w:val="top"/>
          </w:tcPr>
          <w:p>
            <w:pPr>
              <w:spacing w:after="0" w:before="0" w:line="250"/>
            </w:pPr>
            <w:r>
              <w:rPr>
                <w:color w:val="141414"/>
                <w:sz w:val="18"/>
                <w:szCs w:val="18"/>
              </w:rPr>
              <w:t xml:space="preserve">Judging</w:t>
            </w:r>
          </w:p>
        </w:tc>
        <w:tc>
          <w:tcPr>
            <w:tcW w:type="dxa" w:w="6780"/>
            <w:tcMar>
              <w:top w:type="dxa" w:w="90"/>
              <w:left w:type="dxa" w:w="130"/>
              <w:bottom w:type="dxa" w:w="90"/>
              <w:right w:type="dxa" w:w="130"/>
            </w:tcMar>
            <w:vAlign w:val="top"/>
          </w:tcPr>
          <w:p>
            <w:pPr>
              <w:spacing w:after="0" w:before="0" w:line="250"/>
            </w:pPr>
            <w:r>
              <w:rPr>
                <w:color w:val="141414"/>
                <w:sz w:val="18"/>
                <w:szCs w:val="18"/>
              </w:rPr>
              <w:t xml:space="preserve">Automated review, human review, and the rubric.</w:t>
            </w:r>
          </w:p>
        </w:tc>
      </w:tr>
      <w:tr>
        <w:tc>
          <w:tcPr>
            <w:tcW w:type="dxa" w:w="700"/>
            <w:shd w:fill="F2F8F8" w:color="auto" w:val="clear"/>
            <w:tcMar>
              <w:top w:type="dxa" w:w="90"/>
              <w:left w:type="dxa" w:w="130"/>
              <w:bottom w:type="dxa" w:w="90"/>
              <w:right w:type="dxa" w:w="130"/>
            </w:tcMar>
            <w:vAlign w:val="top"/>
          </w:tcPr>
          <w:p>
            <w:pPr>
              <w:spacing w:after="0" w:before="0" w:line="250"/>
            </w:pPr>
            <w:r>
              <w:rPr>
                <w:color w:val="141414"/>
                <w:sz w:val="18"/>
                <w:szCs w:val="18"/>
              </w:rPr>
              <w:t xml:space="preserve">8</w:t>
            </w:r>
          </w:p>
        </w:tc>
        <w:tc>
          <w:tcPr>
            <w:tcW w:type="dxa" w:w="2600"/>
            <w:shd w:fill="F2F8F8" w:color="auto" w:val="clear"/>
            <w:tcMar>
              <w:top w:type="dxa" w:w="90"/>
              <w:left w:type="dxa" w:w="130"/>
              <w:bottom w:type="dxa" w:w="90"/>
              <w:right w:type="dxa" w:w="130"/>
            </w:tcMar>
            <w:vAlign w:val="top"/>
          </w:tcPr>
          <w:p>
            <w:pPr>
              <w:spacing w:after="0" w:before="0" w:line="250"/>
            </w:pPr>
            <w:r>
              <w:rPr>
                <w:color w:val="141414"/>
                <w:sz w:val="18"/>
                <w:szCs w:val="18"/>
              </w:rPr>
              <w:t xml:space="preserve">Guardrails &amp; Glossary</w:t>
            </w:r>
          </w:p>
        </w:tc>
        <w:tc>
          <w:tcPr>
            <w:tcW w:type="dxa" w:w="6780"/>
            <w:shd w:fill="F2F8F8" w:color="auto" w:val="clear"/>
            <w:tcMar>
              <w:top w:type="dxa" w:w="90"/>
              <w:left w:type="dxa" w:w="130"/>
              <w:bottom w:type="dxa" w:w="90"/>
              <w:right w:type="dxa" w:w="130"/>
            </w:tcMar>
            <w:vAlign w:val="top"/>
          </w:tcPr>
          <w:p>
            <w:pPr>
              <w:spacing w:after="0" w:before="0" w:line="250"/>
            </w:pPr>
            <w:r>
              <w:rPr>
                <w:color w:val="141414"/>
                <w:sz w:val="18"/>
                <w:szCs w:val="18"/>
              </w:rPr>
              <w:t xml:space="preserve">What not to submit, and terms used in this document.</w:t>
            </w:r>
          </w:p>
        </w:tc>
      </w:tr>
    </w:tbl>
    <w:p>
      <w:r>
        <w:br w:type="page"/>
      </w:r>
    </w:p>
    <w:p>
      <w:pPr>
        <w:spacing w:after="50" w:before="0"/>
      </w:pPr>
      <w:r>
        <w:rPr>
          <w:b/>
          <w:bCs/>
          <w:caps/>
          <w:color w:val="0E7C86"/>
          <w:spacing w:val="40"/>
          <w:sz w:val="15"/>
          <w:szCs w:val="15"/>
        </w:rPr>
        <w:t xml:space="preserve">BACKGROUND</w:t>
      </w:r>
    </w:p>
    <w:p>
      <w:pPr>
        <w:pStyle w:val="Heading1"/>
        <w:pBdr>
          <w:bottom w:val="single" w:color="0E7C86" w:sz="8"/>
        </w:pBdr>
        <w:spacing w:after="160" w:before="380"/>
      </w:pPr>
      <w:r>
        <w:rPr>
          <w:b/>
          <w:bCs/>
          <w:color w:val="0E7C86"/>
          <w:sz w:val="28"/>
          <w:szCs w:val="28"/>
        </w:rPr>
        <w:t xml:space="preserve">1  </w:t>
      </w:r>
      <w:r>
        <w:rPr>
          <w:b/>
          <w:bCs/>
          <w:caps/>
          <w:color w:val="141414"/>
          <w:spacing w:val="8"/>
          <w:sz w:val="28"/>
          <w:szCs w:val="28"/>
        </w:rPr>
        <w:t xml:space="preserve">The Business</w:t>
      </w:r>
    </w:p>
    <w:p>
      <w:pPr>
        <w:spacing w:after="120" w:before="0" w:line="276"/>
      </w:pPr>
      <w:r>
        <w:rPr>
          <w:color w:val="141414"/>
          <w:sz w:val="20"/>
          <w:szCs w:val="20"/>
        </w:rPr>
        <w:t xml:space="preserve">HoldNote started the way a lot of good client-service businesses do: as a favor. Dana Ruiz spent a decade producing audio for a regional radio group, and when a friend’s dental practice couldn’t stand its stock hold music for one more day, Dana wrote and recorded three lines on a Sunday afternoon. Callers started commenting on it. Eighteen months and roughly sixty clients later, that favor is the business.</w:t>
      </w:r>
    </w:p>
    <w:p>
      <w:pPr>
        <w:spacing w:after="120" w:before="0" w:line="276"/>
      </w:pPr>
      <w:r>
        <w:rPr>
          <w:color w:val="141414"/>
          <w:sz w:val="20"/>
          <w:szCs w:val="20"/>
        </w:rPr>
        <w:t xml:space="preserve">HoldNote writes and produces the on-hold messages, voicemail greetings, and phone-menu scripts that small businesses play to the people waiting on their line. A dentist’s office, an HVAC company, a boutique law firm — HoldNote turns "please hold" into a few professionally scripted, recorded lines that actually sound like the business, not a stock CD from 1998. Clients send over whatever makes them distinctive — the owner’s origin story, a running joke with regulars, the thing they’d tell you face-to-face — and HoldNote turns it into thirty seconds of audio that makes the wait feel less like a wait.</w:t>
      </w:r>
    </w:p>
    <w:p>
      <w:pPr>
        <w:spacing w:after="120" w:before="0" w:line="276"/>
      </w:pPr>
      <w:r>
        <w:rPr>
          <w:color w:val="141414"/>
          <w:sz w:val="20"/>
          <w:szCs w:val="20"/>
        </w:rPr>
        <w:t xml:space="preserve">It is still a one-person operation. Dana takes every intake call personally, writes each script that evening, and records the voiceover the next morning before anything else gets attention. That closeness is exactly what clients are paying for — but it also means every new client is a fixed block of Dana’s hours, and there is only one Dana. Right now, growth looks like turning away referrals, not taking them on.</w:t>
      </w:r>
    </w:p>
    <w:p>
      <w:pPr>
        <w:spacing w:after="120" w:before="0" w:line="276"/>
      </w:pPr>
      <w:r>
        <w:rPr>
          <w:color w:val="141414"/>
          <w:sz w:val="20"/>
          <w:szCs w:val="20"/>
        </w:rPr>
        <w:t xml:space="preserve">HoldNote wants to know where an AI voice agent belongs in that pipeline, and would rather look at working prototypes than sit through another slide deck.</w:t>
      </w:r>
    </w:p>
    <w:p>
      <w:pPr>
        <w:spacing w:after="50" w:before="0"/>
      </w:pPr>
      <w:r>
        <w:rPr>
          <w:b/>
          <w:bCs/>
          <w:caps/>
          <w:color w:val="0E7C86"/>
          <w:spacing w:val="40"/>
          <w:sz w:val="15"/>
          <w:szCs w:val="15"/>
        </w:rPr>
        <w:t xml:space="preserve">THE ASK</w:t>
      </w:r>
    </w:p>
    <w:p>
      <w:pPr>
        <w:pStyle w:val="Heading1"/>
        <w:pBdr>
          <w:bottom w:val="single" w:color="0E7C86" w:sz="8"/>
        </w:pBdr>
        <w:spacing w:after="160" w:before="380"/>
      </w:pPr>
      <w:r>
        <w:rPr>
          <w:b/>
          <w:bCs/>
          <w:color w:val="0E7C86"/>
          <w:sz w:val="28"/>
          <w:szCs w:val="28"/>
        </w:rPr>
        <w:t xml:space="preserve">2  </w:t>
      </w:r>
      <w:r>
        <w:rPr>
          <w:b/>
          <w:bCs/>
          <w:caps/>
          <w:color w:val="141414"/>
          <w:spacing w:val="8"/>
          <w:sz w:val="28"/>
          <w:szCs w:val="28"/>
        </w:rPr>
        <w:t xml:space="preserve">The Challenge</w:t>
      </w:r>
    </w:p>
    <w:p>
      <w:pPr>
        <w:spacing w:after="120" w:before="0" w:line="276"/>
      </w:pPr>
      <w:r>
        <w:rPr>
          <w:color w:val="141414"/>
          <w:sz w:val="20"/>
          <w:szCs w:val="20"/>
        </w:rPr>
        <w:t xml:space="preserve">You have 20 minutes to build. Build one thing that puts a voice agent somewhere in the HoldNote pipeline and either makes HoldNote money or saves it time — not both. Any idea you can defend is fair game.</w:t>
      </w:r>
    </w:p>
    <w:p>
      <w:pPr>
        <w:spacing w:after="120" w:before="0" w:line="276"/>
      </w:pPr>
      <w:r>
        <w:rPr>
          <w:color w:val="141414"/>
          <w:sz w:val="20"/>
          <w:szCs w:val="20"/>
        </w:rPr>
        <w:t xml:space="preserve">Twenty minutes is short, even with AI tooling doing the typing. Scoping is part of the test. Nobody expects a finished product: one narrow flow that actually works beats a broad skeleton that does not, and what you deliberately chose not to build is itself part of what gets scored.</w:t>
      </w:r>
    </w:p>
    <w:p>
      <w:pPr>
        <w:spacing w:after="50" w:before="0"/>
      </w:pPr>
      <w:r>
        <w:rPr>
          <w:b/>
          <w:bCs/>
          <w:caps/>
          <w:color w:val="0E7C86"/>
          <w:spacing w:val="40"/>
          <w:sz w:val="15"/>
          <w:szCs w:val="15"/>
        </w:rPr>
        <w:t xml:space="preserve">BEFORE YOU BUILD</w:t>
      </w:r>
    </w:p>
    <w:p>
      <w:pPr>
        <w:pStyle w:val="Heading1"/>
        <w:pBdr>
          <w:bottom w:val="single" w:color="0E7C86" w:sz="8"/>
        </w:pBdr>
        <w:spacing w:after="160" w:before="380"/>
      </w:pPr>
      <w:r>
        <w:rPr>
          <w:b/>
          <w:bCs/>
          <w:color w:val="0E7C86"/>
          <w:sz w:val="28"/>
          <w:szCs w:val="28"/>
        </w:rPr>
        <w:t xml:space="preserve">3  </w:t>
      </w:r>
      <w:r>
        <w:rPr>
          <w:b/>
          <w:bCs/>
          <w:caps/>
          <w:color w:val="141414"/>
          <w:spacing w:val="8"/>
          <w:sz w:val="28"/>
          <w:szCs w:val="28"/>
        </w:rPr>
        <w:t xml:space="preserve">Think About This First</w:t>
      </w:r>
    </w:p>
    <w:p>
      <w:pPr>
        <w:spacing w:after="110" w:before="0" w:line="276"/>
      </w:pPr>
      <w:r>
        <w:rPr>
          <w:b/>
          <w:bCs/>
          <w:color w:val="141414"/>
          <w:sz w:val="20"/>
          <w:szCs w:val="20"/>
        </w:rPr>
        <w:t xml:space="preserve">This is not a deliverable. </w:t>
      </w:r>
      <w:r>
        <w:rPr>
          <w:color w:val="141414"/>
          <w:sz w:val="20"/>
          <w:szCs w:val="20"/>
        </w:rPr>
        <w:t xml:space="preserve">Nothing in this section gets submitted or graded directly — but rubric criterion 1 rewards evidence that you sat with these questions before you opened an editor. Two minutes is enough.</w:t>
      </w:r>
    </w:p>
    <w:p>
      <w:pPr>
        <w:pStyle w:val="ListParagraph"/>
        <w:numPr>
          <w:ilvl w:val="0"/>
          <w:numId w:val="2"/>
        </w:numPr>
        <w:spacing w:after="70" w:line="260"/>
      </w:pPr>
      <w:r>
        <w:rPr>
          <w:color w:val="141414"/>
          <w:sz w:val="20"/>
          <w:szCs w:val="20"/>
        </w:rPr>
        <w:t xml:space="preserve">Who is HoldNote actually serving in this moment — the business owner who pays the invoice, or the caller stuck listening to the hold message?</w:t>
      </w:r>
    </w:p>
    <w:p>
      <w:pPr>
        <w:pStyle w:val="ListParagraph"/>
        <w:numPr>
          <w:ilvl w:val="0"/>
          <w:numId w:val="2"/>
        </w:numPr>
        <w:spacing w:after="70" w:line="260"/>
      </w:pPr>
      <w:r>
        <w:rPr>
          <w:color w:val="141414"/>
          <w:sz w:val="20"/>
          <w:szCs w:val="20"/>
        </w:rPr>
        <w:t xml:space="preserve">Is the friction point speed (intake to delivered audio), consistency (every script sounding like the brand), or scale (more clients without more owner-hours)?</w:t>
      </w:r>
    </w:p>
    <w:p>
      <w:pPr>
        <w:pStyle w:val="ListParagraph"/>
        <w:numPr>
          <w:ilvl w:val="0"/>
          <w:numId w:val="2"/>
        </w:numPr>
        <w:spacing w:after="70" w:line="260"/>
      </w:pPr>
      <w:r>
        <w:rPr>
          <w:color w:val="141414"/>
          <w:sz w:val="20"/>
          <w:szCs w:val="20"/>
        </w:rPr>
        <w:t xml:space="preserve">Does your idea make HoldNote money — a new offering, faster turnaround that supports more clients — or save it time? Pick one; the RFP is not asking for both.</w:t>
      </w:r>
    </w:p>
    <w:p>
      <w:pPr>
        <w:pStyle w:val="ListParagraph"/>
        <w:numPr>
          <w:ilvl w:val="0"/>
          <w:numId w:val="2"/>
        </w:numPr>
        <w:spacing w:after="70" w:line="260"/>
      </w:pPr>
      <w:r>
        <w:rPr>
          <w:color w:val="141414"/>
          <w:sz w:val="20"/>
          <w:szCs w:val="20"/>
        </w:rPr>
        <w:t xml:space="preserve">What is one thing the owner would not trust an AI to do without checking first? Your design should show you’ve thought about that boundary, even if you don’t build it.</w:t>
      </w:r>
    </w:p>
    <w:p>
      <w:pPr>
        <w:pStyle w:val="ListParagraph"/>
        <w:numPr>
          <w:ilvl w:val="0"/>
          <w:numId w:val="2"/>
        </w:numPr>
        <w:spacing w:after="70" w:line="260"/>
      </w:pPr>
      <w:r>
        <w:rPr>
          <w:color w:val="141414"/>
          <w:sz w:val="20"/>
          <w:szCs w:val="20"/>
        </w:rPr>
        <w:t xml:space="preserve">What is the smallest version of this idea that is still worth putting in front of someone?</w:t>
      </w:r>
    </w:p>
    <w:p>
      <w:pPr>
        <w:spacing w:after="50" w:before="0"/>
      </w:pPr>
      <w:r>
        <w:rPr>
          <w:b/>
          <w:bCs/>
          <w:caps/>
          <w:color w:val="0E7C86"/>
          <w:spacing w:val="40"/>
          <w:sz w:val="15"/>
          <w:szCs w:val="15"/>
        </w:rPr>
        <w:t xml:space="preserve">RULES</w:t>
      </w:r>
    </w:p>
    <w:p>
      <w:pPr>
        <w:pStyle w:val="Heading1"/>
        <w:pBdr>
          <w:bottom w:val="single" w:color="0E7C86" w:sz="8"/>
        </w:pBdr>
        <w:spacing w:after="160" w:before="380"/>
      </w:pPr>
      <w:r>
        <w:rPr>
          <w:b/>
          <w:bCs/>
          <w:color w:val="0E7C86"/>
          <w:sz w:val="28"/>
          <w:szCs w:val="28"/>
        </w:rPr>
        <w:t xml:space="preserve">4  </w:t>
      </w:r>
      <w:r>
        <w:rPr>
          <w:b/>
          <w:bCs/>
          <w:caps/>
          <w:color w:val="141414"/>
          <w:spacing w:val="8"/>
          <w:sz w:val="28"/>
          <w:szCs w:val="28"/>
        </w:rPr>
        <w:t xml:space="preserve">Build</w:t>
      </w:r>
    </w:p>
    <w:p>
      <w:pPr>
        <w:spacing w:after="140" w:before="0" w:line="276"/>
      </w:pPr>
      <w:r>
        <w:rPr>
          <w:color w:val="6B6B6B"/>
          <w:sz w:val="20"/>
          <w:szCs w:val="20"/>
        </w:rPr>
        <w:t xml:space="preserve">20 minutes, clock starts at kickoff.</w:t>
      </w:r>
    </w:p>
    <w:p>
      <w:pPr>
        <w:pStyle w:val="ListParagraph"/>
        <w:numPr>
          <w:ilvl w:val="0"/>
          <w:numId w:val="2"/>
        </w:numPr>
        <w:spacing w:after="70" w:line="260"/>
      </w:pPr>
      <w:r>
        <w:rPr>
          <w:b/>
          <w:bCs/>
          <w:color w:val="141414"/>
          <w:sz w:val="20"/>
          <w:szCs w:val="20"/>
        </w:rPr>
        <w:t xml:space="preserve">Pick one concept. </w:t>
      </w:r>
      <w:r>
        <w:rPr>
          <w:color w:val="141414"/>
          <w:sz w:val="20"/>
          <w:szCs w:val="20"/>
        </w:rPr>
        <w:t xml:space="preserve">Name it, name the friction point it attacks, and pick one outcome: more revenue, or less owner-time.</w:t>
      </w:r>
    </w:p>
    <w:p>
      <w:pPr>
        <w:pStyle w:val="ListParagraph"/>
        <w:numPr>
          <w:ilvl w:val="0"/>
          <w:numId w:val="2"/>
        </w:numPr>
        <w:spacing w:after="70" w:line="260"/>
      </w:pPr>
      <w:r>
        <w:rPr>
          <w:b/>
          <w:bCs/>
          <w:color w:val="141414"/>
          <w:sz w:val="20"/>
          <w:szCs w:val="20"/>
        </w:rPr>
        <w:t xml:space="preserve">Audio must appear somewhere. </w:t>
      </w:r>
      <w:r>
        <w:rPr>
          <w:color w:val="141414"/>
          <w:sz w:val="20"/>
          <w:szCs w:val="20"/>
        </w:rPr>
        <w:t xml:space="preserve">Captured, generated, or transformed — either side of the workflow counts. A text-in, text-out tool does not qualify.</w:t>
      </w:r>
    </w:p>
    <w:p>
      <w:pPr>
        <w:pStyle w:val="ListParagraph"/>
        <w:numPr>
          <w:ilvl w:val="0"/>
          <w:numId w:val="2"/>
        </w:numPr>
        <w:spacing w:after="70" w:line="260"/>
      </w:pPr>
      <w:r>
        <w:rPr>
          <w:b/>
          <w:bCs/>
          <w:color w:val="141414"/>
          <w:sz w:val="20"/>
          <w:szCs w:val="20"/>
        </w:rPr>
        <w:t xml:space="preserve">Your system must also: </w:t>
      </w:r>
      <w:r>
        <w:rPr>
          <w:color w:val="141414"/>
          <w:sz w:val="20"/>
          <w:szCs w:val="20"/>
        </w:rPr>
        <w:t xml:space="preserve">take an input from a person, turn it into a structured, machine-readable artifact, and run from a single entry point.</w:t>
      </w:r>
    </w:p>
    <w:p>
      <w:pPr>
        <w:pStyle w:val="ListParagraph"/>
        <w:numPr>
          <w:ilvl w:val="0"/>
          <w:numId w:val="2"/>
        </w:numPr>
        <w:spacing w:after="70" w:line="260"/>
      </w:pPr>
      <w:r>
        <w:rPr>
          <w:b/>
          <w:bCs/>
          <w:color w:val="141414"/>
          <w:sz w:val="20"/>
          <w:szCs w:val="20"/>
        </w:rPr>
        <w:t xml:space="preserve">Start the repo at kickoff. </w:t>
      </w:r>
      <w:r>
        <w:rPr>
          <w:color w:val="141414"/>
          <w:sz w:val="20"/>
          <w:szCs w:val="20"/>
        </w:rPr>
        <w:t xml:space="preserve">Prepared environments and starter templates are fine. Project-specific code written beforehand is not — commit timestamps are checked.</w:t>
      </w:r>
    </w:p>
    <w:p>
      <w:pPr>
        <w:pStyle w:val="ListParagraph"/>
        <w:numPr>
          <w:ilvl w:val="0"/>
          <w:numId w:val="2"/>
        </w:numPr>
        <w:spacing w:after="70" w:line="260"/>
      </w:pPr>
      <w:r>
        <w:rPr>
          <w:b/>
          <w:bCs/>
          <w:color w:val="141414"/>
          <w:sz w:val="20"/>
          <w:szCs w:val="20"/>
        </w:rPr>
        <w:t xml:space="preserve">Leave time to submit. </w:t>
      </w:r>
      <w:r>
        <w:rPr>
          <w:color w:val="141414"/>
          <w:sz w:val="20"/>
          <w:szCs w:val="20"/>
        </w:rPr>
        <w:t xml:space="preserve">Stop building with a few minutes left so you can check the repo over and submit cleanly — see Section 6.</w:t>
      </w:r>
    </w:p>
    <w:p>
      <w:pPr>
        <w:spacing w:after="50" w:before="0"/>
      </w:pPr>
      <w:r>
        <w:rPr>
          <w:b/>
          <w:bCs/>
          <w:caps/>
          <w:color w:val="0E7C86"/>
          <w:spacing w:val="40"/>
          <w:sz w:val="15"/>
          <w:szCs w:val="15"/>
        </w:rPr>
        <w:t xml:space="preserve">WHAT MUST BE TRUE</w:t>
      </w:r>
    </w:p>
    <w:p>
      <w:pPr>
        <w:pStyle w:val="Heading1"/>
        <w:pBdr>
          <w:bottom w:val="single" w:color="0E7C86" w:sz="8"/>
        </w:pBdr>
        <w:spacing w:after="160" w:before="380"/>
      </w:pPr>
      <w:r>
        <w:rPr>
          <w:b/>
          <w:bCs/>
          <w:color w:val="0E7C86"/>
          <w:sz w:val="28"/>
          <w:szCs w:val="28"/>
        </w:rPr>
        <w:t xml:space="preserve">5  </w:t>
      </w:r>
      <w:r>
        <w:rPr>
          <w:b/>
          <w:bCs/>
          <w:caps/>
          <w:color w:val="141414"/>
          <w:spacing w:val="8"/>
          <w:sz w:val="28"/>
          <w:szCs w:val="28"/>
        </w:rPr>
        <w:t xml:space="preserve">Requirements</w:t>
      </w:r>
    </w:p>
    <w:p>
      <w:pPr>
        <w:spacing w:after="120" w:before="0" w:line="276"/>
      </w:pPr>
      <w:r>
        <w:rPr>
          <w:color w:val="141414"/>
          <w:sz w:val="20"/>
          <w:szCs w:val="20"/>
        </w:rPr>
        <w:t xml:space="preserve">Four requirements are mandatory — every submission can meet them regardless of which concept you pick, and missing one caps the run at Fail. The rest are optional: most will not apply to your concept, and that is fine. The optional list is not a checklist; matching one helps, skipping it costs nothing.</w:t>
      </w:r>
    </w:p>
    <w:p>
      <w:pPr>
        <w:spacing w:after="100"/>
      </w:pPr>
    </w:p>
    <w:p>
      <w:pPr>
        <w:pStyle w:val="Heading2"/>
        <w:spacing w:after="100" w:before="240"/>
      </w:pPr>
      <w:r>
        <w:rPr>
          <w:b/>
          <w:bCs/>
          <w:color w:val="141414"/>
          <w:sz w:val="21"/>
          <w:szCs w:val="21"/>
        </w:rPr>
        <w:t xml:space="preserve">5.1  Mandatory</w:t>
      </w:r>
    </w:p>
    <w:tbl>
      <w:tblPr>
        <w:tblW w:type="dxa" w:w="10080"/>
        <w:tblBorders>
          <w:top w:val="single" w:color="D9D9D9" w:sz="4"/>
          <w:left w:val="none"/>
          <w:bottom w:val="single" w:color="D9D9D9" w:sz="4"/>
          <w:right w:val="none"/>
          <w:insideH w:val="single" w:color="D9D9D9" w:sz="2"/>
          <w:insideV w:val="none"/>
        </w:tblBorders>
      </w:tblPr>
      <w:tblGrid>
        <w:gridCol w:w="1100"/>
        <w:gridCol w:w="8980"/>
      </w:tblGrid>
      <w:tr>
        <w:trPr>
          <w:tblHeader/>
        </w:trPr>
        <w:tc>
          <w:tcPr>
            <w:tcW w:type="dxa" w:w="1100"/>
            <w:shd w:fill="0A5860" w:color="auto" w:val="clear"/>
            <w:tcMar>
              <w:top w:type="dxa" w:w="90"/>
              <w:left w:type="dxa" w:w="130"/>
              <w:bottom w:type="dxa" w:w="90"/>
              <w:right w:type="dxa" w:w="130"/>
            </w:tcMar>
            <w:vAlign w:val="top"/>
          </w:tcPr>
          <w:p>
            <w:pPr>
              <w:spacing w:after="0" w:before="0" w:line="250"/>
            </w:pPr>
            <w:r>
              <w:rPr>
                <w:b/>
                <w:bCs/>
                <w:color w:val="FFFFFF"/>
                <w:sz w:val="17"/>
                <w:szCs w:val="17"/>
              </w:rPr>
              <w:t xml:space="preserve">ID</w:t>
            </w:r>
          </w:p>
        </w:tc>
        <w:tc>
          <w:tcPr>
            <w:tcW w:type="dxa" w:w="8980"/>
            <w:shd w:fill="0A5860" w:color="auto" w:val="clear"/>
            <w:tcMar>
              <w:top w:type="dxa" w:w="90"/>
              <w:left w:type="dxa" w:w="130"/>
              <w:bottom w:type="dxa" w:w="90"/>
              <w:right w:type="dxa" w:w="130"/>
            </w:tcMar>
            <w:vAlign w:val="top"/>
          </w:tcPr>
          <w:p>
            <w:pPr>
              <w:spacing w:after="0" w:before="0" w:line="250"/>
            </w:pPr>
            <w:r>
              <w:rPr>
                <w:b/>
                <w:bCs/>
                <w:color w:val="FFFFFF"/>
                <w:sz w:val="17"/>
                <w:szCs w:val="17"/>
              </w:rPr>
              <w:t xml:space="preserve">Requirement</w:t>
            </w:r>
          </w:p>
        </w:tc>
      </w:tr>
      <w:tr>
        <w:tc>
          <w:tcPr>
            <w:tcW w:type="dxa" w:w="1100"/>
            <w:tcMar>
              <w:top w:type="dxa" w:w="90"/>
              <w:left w:type="dxa" w:w="130"/>
              <w:bottom w:type="dxa" w:w="90"/>
              <w:right w:type="dxa" w:w="130"/>
            </w:tcMar>
            <w:vAlign w:val="top"/>
          </w:tcPr>
          <w:p>
            <w:pPr>
              <w:spacing w:after="0" w:before="0" w:line="250"/>
            </w:pPr>
            <w:r>
              <w:rPr>
                <w:color w:val="141414"/>
                <w:sz w:val="18"/>
                <w:szCs w:val="18"/>
              </w:rPr>
              <w:t xml:space="preserve">MR-1</w:t>
            </w:r>
          </w:p>
        </w:tc>
        <w:tc>
          <w:tcPr>
            <w:tcW w:type="dxa" w:w="8980"/>
            <w:tcMar>
              <w:top w:type="dxa" w:w="90"/>
              <w:left w:type="dxa" w:w="130"/>
              <w:bottom w:type="dxa" w:w="90"/>
              <w:right w:type="dxa" w:w="130"/>
            </w:tcMar>
            <w:vAlign w:val="top"/>
          </w:tcPr>
          <w:p>
            <w:pPr>
              <w:spacing w:after="0" w:before="0" w:line="250"/>
            </w:pPr>
            <w:r>
              <w:rPr>
                <w:color w:val="141414"/>
                <w:sz w:val="18"/>
                <w:szCs w:val="18"/>
              </w:rPr>
              <w:t xml:space="preserve">Audio shall appear somewhere in the flow — captured, generated, or transformed. A text-in, text-out tool does not satisfy this requirement.</w:t>
            </w:r>
          </w:p>
        </w:tc>
      </w:tr>
      <w:tr>
        <w:tc>
          <w:tcPr>
            <w:tcW w:type="dxa" w:w="1100"/>
            <w:shd w:fill="F2F8F8" w:color="auto" w:val="clear"/>
            <w:tcMar>
              <w:top w:type="dxa" w:w="90"/>
              <w:left w:type="dxa" w:w="130"/>
              <w:bottom w:type="dxa" w:w="90"/>
              <w:right w:type="dxa" w:w="130"/>
            </w:tcMar>
            <w:vAlign w:val="top"/>
          </w:tcPr>
          <w:p>
            <w:pPr>
              <w:spacing w:after="0" w:before="0" w:line="250"/>
            </w:pPr>
            <w:r>
              <w:rPr>
                <w:color w:val="141414"/>
                <w:sz w:val="18"/>
                <w:szCs w:val="18"/>
              </w:rPr>
              <w:t xml:space="preserve">MR-2</w:t>
            </w:r>
          </w:p>
        </w:tc>
        <w:tc>
          <w:tcPr>
            <w:tcW w:type="dxa" w:w="8980"/>
            <w:shd w:fill="F2F8F8" w:color="auto" w:val="clear"/>
            <w:tcMar>
              <w:top w:type="dxa" w:w="90"/>
              <w:left w:type="dxa" w:w="130"/>
              <w:bottom w:type="dxa" w:w="90"/>
              <w:right w:type="dxa" w:w="130"/>
            </w:tcMar>
            <w:vAlign w:val="top"/>
          </w:tcPr>
          <w:p>
            <w:pPr>
              <w:spacing w:after="0" w:before="0" w:line="250"/>
            </w:pPr>
            <w:r>
              <w:rPr>
                <w:color w:val="141414"/>
                <w:sz w:val="18"/>
                <w:szCs w:val="18"/>
              </w:rPr>
              <w:t xml:space="preserve">The system shall take an input from a person and turn it into a structured, machine-readable artifact (e.g. JSON, a structured transcript, a tagged script).</w:t>
            </w:r>
          </w:p>
        </w:tc>
      </w:tr>
      <w:tr>
        <w:tc>
          <w:tcPr>
            <w:tcW w:type="dxa" w:w="1100"/>
            <w:tcMar>
              <w:top w:type="dxa" w:w="90"/>
              <w:left w:type="dxa" w:w="130"/>
              <w:bottom w:type="dxa" w:w="90"/>
              <w:right w:type="dxa" w:w="130"/>
            </w:tcMar>
            <w:vAlign w:val="top"/>
          </w:tcPr>
          <w:p>
            <w:pPr>
              <w:spacing w:after="0" w:before="0" w:line="250"/>
            </w:pPr>
            <w:r>
              <w:rPr>
                <w:color w:val="141414"/>
                <w:sz w:val="18"/>
                <w:szCs w:val="18"/>
              </w:rPr>
              <w:t xml:space="preserve">MR-3</w:t>
            </w:r>
          </w:p>
        </w:tc>
        <w:tc>
          <w:tcPr>
            <w:tcW w:type="dxa" w:w="8980"/>
            <w:tcMar>
              <w:top w:type="dxa" w:w="90"/>
              <w:left w:type="dxa" w:w="130"/>
              <w:bottom w:type="dxa" w:w="90"/>
              <w:right w:type="dxa" w:w="130"/>
            </w:tcMar>
            <w:vAlign w:val="top"/>
          </w:tcPr>
          <w:p>
            <w:pPr>
              <w:spacing w:after="0" w:before="0" w:line="250"/>
            </w:pPr>
            <w:r>
              <w:rPr>
                <w:color w:val="141414"/>
                <w:sz w:val="18"/>
                <w:szCs w:val="18"/>
              </w:rPr>
              <w:t xml:space="preserve">The system shall run from a single command or entry point.</w:t>
            </w:r>
          </w:p>
        </w:tc>
      </w:tr>
      <w:tr>
        <w:tc>
          <w:tcPr>
            <w:tcW w:type="dxa" w:w="1100"/>
            <w:shd w:fill="F2F8F8" w:color="auto" w:val="clear"/>
            <w:tcMar>
              <w:top w:type="dxa" w:w="90"/>
              <w:left w:type="dxa" w:w="130"/>
              <w:bottom w:type="dxa" w:w="90"/>
              <w:right w:type="dxa" w:w="130"/>
            </w:tcMar>
            <w:vAlign w:val="top"/>
          </w:tcPr>
          <w:p>
            <w:pPr>
              <w:spacing w:after="0" w:before="0" w:line="250"/>
            </w:pPr>
            <w:r>
              <w:rPr>
                <w:color w:val="141414"/>
                <w:sz w:val="18"/>
                <w:szCs w:val="18"/>
              </w:rPr>
              <w:t xml:space="preserve">MR-4</w:t>
            </w:r>
          </w:p>
        </w:tc>
        <w:tc>
          <w:tcPr>
            <w:tcW w:type="dxa" w:w="8980"/>
            <w:shd w:fill="F2F8F8" w:color="auto" w:val="clear"/>
            <w:tcMar>
              <w:top w:type="dxa" w:w="90"/>
              <w:left w:type="dxa" w:w="130"/>
              <w:bottom w:type="dxa" w:w="90"/>
              <w:right w:type="dxa" w:w="130"/>
            </w:tcMar>
            <w:vAlign w:val="top"/>
          </w:tcPr>
          <w:p>
            <w:pPr>
              <w:spacing w:after="0" w:before="0" w:line="250"/>
            </w:pPr>
            <w:r>
              <w:rPr>
                <w:color w:val="141414"/>
                <w:sz w:val="18"/>
                <w:szCs w:val="18"/>
              </w:rPr>
              <w:t xml:space="preserve">Credentials and API keys shall be read from the environment, not hardcoded in source.</w:t>
            </w:r>
          </w:p>
        </w:tc>
      </w:tr>
    </w:tbl>
    <w:p>
      <w:pPr>
        <w:spacing w:after="160"/>
      </w:pPr>
    </w:p>
    <w:p>
      <w:pPr>
        <w:pStyle w:val="Heading2"/>
        <w:spacing w:after="100" w:before="240"/>
      </w:pPr>
      <w:r>
        <w:rPr>
          <w:b/>
          <w:bCs/>
          <w:color w:val="141414"/>
          <w:sz w:val="21"/>
          <w:szCs w:val="21"/>
        </w:rPr>
        <w:t xml:space="preserve">5.2  Optional</w:t>
      </w:r>
    </w:p>
    <w:tbl>
      <w:tblPr>
        <w:tblW w:type="dxa" w:w="10080"/>
        <w:tblBorders>
          <w:top w:val="single" w:color="D9D9D9" w:sz="4"/>
          <w:left w:val="none"/>
          <w:bottom w:val="single" w:color="D9D9D9" w:sz="4"/>
          <w:right w:val="none"/>
          <w:insideH w:val="single" w:color="D9D9D9" w:sz="2"/>
          <w:insideV w:val="none"/>
        </w:tblBorders>
      </w:tblPr>
      <w:tblGrid>
        <w:gridCol w:w="1100"/>
        <w:gridCol w:w="8980"/>
      </w:tblGrid>
      <w:tr>
        <w:trPr>
          <w:tblHeader/>
        </w:trPr>
        <w:tc>
          <w:tcPr>
            <w:tcW w:type="dxa" w:w="1100"/>
            <w:shd w:fill="6B6B6B" w:color="auto" w:val="clear"/>
            <w:tcMar>
              <w:top w:type="dxa" w:w="90"/>
              <w:left w:type="dxa" w:w="130"/>
              <w:bottom w:type="dxa" w:w="90"/>
              <w:right w:type="dxa" w:w="130"/>
            </w:tcMar>
            <w:vAlign w:val="top"/>
          </w:tcPr>
          <w:p>
            <w:pPr>
              <w:spacing w:after="0" w:before="0" w:line="250"/>
            </w:pPr>
            <w:r>
              <w:rPr>
                <w:b/>
                <w:bCs/>
                <w:color w:val="FFFFFF"/>
                <w:sz w:val="17"/>
                <w:szCs w:val="17"/>
              </w:rPr>
              <w:t xml:space="preserve">ID</w:t>
            </w:r>
          </w:p>
        </w:tc>
        <w:tc>
          <w:tcPr>
            <w:tcW w:type="dxa" w:w="8980"/>
            <w:shd w:fill="6B6B6B" w:color="auto" w:val="clear"/>
            <w:tcMar>
              <w:top w:type="dxa" w:w="90"/>
              <w:left w:type="dxa" w:w="130"/>
              <w:bottom w:type="dxa" w:w="90"/>
              <w:right w:type="dxa" w:w="130"/>
            </w:tcMar>
            <w:vAlign w:val="top"/>
          </w:tcPr>
          <w:p>
            <w:pPr>
              <w:spacing w:after="0" w:before="0" w:line="250"/>
            </w:pPr>
            <w:r>
              <w:rPr>
                <w:b/>
                <w:bCs/>
                <w:color w:val="FFFFFF"/>
                <w:sz w:val="17"/>
                <w:szCs w:val="17"/>
              </w:rPr>
              <w:t xml:space="preserve">Requirement</w:t>
            </w:r>
          </w:p>
        </w:tc>
      </w:tr>
      <w:tr>
        <w:tc>
          <w:tcPr>
            <w:tcW w:type="dxa" w:w="1100"/>
            <w:tcMar>
              <w:top w:type="dxa" w:w="90"/>
              <w:left w:type="dxa" w:w="130"/>
              <w:bottom w:type="dxa" w:w="90"/>
              <w:right w:type="dxa" w:w="130"/>
            </w:tcMar>
            <w:vAlign w:val="top"/>
          </w:tcPr>
          <w:p>
            <w:pPr>
              <w:spacing w:after="0" w:before="0" w:line="250"/>
            </w:pPr>
            <w:r>
              <w:rPr>
                <w:color w:val="141414"/>
                <w:sz w:val="18"/>
                <w:szCs w:val="18"/>
              </w:rPr>
              <w:t xml:space="preserve">OR-1</w:t>
            </w:r>
          </w:p>
        </w:tc>
        <w:tc>
          <w:tcPr>
            <w:tcW w:type="dxa" w:w="8980"/>
            <w:tcMar>
              <w:top w:type="dxa" w:w="90"/>
              <w:left w:type="dxa" w:w="130"/>
              <w:bottom w:type="dxa" w:w="90"/>
              <w:right w:type="dxa" w:w="130"/>
            </w:tcMar>
            <w:vAlign w:val="top"/>
          </w:tcPr>
          <w:p>
            <w:pPr>
              <w:spacing w:after="0" w:before="0" w:line="250"/>
            </w:pPr>
            <w:r>
              <w:rPr>
                <w:color w:val="141414"/>
                <w:sz w:val="18"/>
                <w:szCs w:val="18"/>
              </w:rPr>
              <w:t xml:space="preserve">The system should transcribe a spoken intake description into text.</w:t>
            </w:r>
          </w:p>
        </w:tc>
      </w:tr>
      <w:tr>
        <w:tc>
          <w:tcPr>
            <w:tcW w:type="dxa" w:w="1100"/>
            <w:shd w:fill="F2F8F8" w:color="auto" w:val="clear"/>
            <w:tcMar>
              <w:top w:type="dxa" w:w="90"/>
              <w:left w:type="dxa" w:w="130"/>
              <w:bottom w:type="dxa" w:w="90"/>
              <w:right w:type="dxa" w:w="130"/>
            </w:tcMar>
            <w:vAlign w:val="top"/>
          </w:tcPr>
          <w:p>
            <w:pPr>
              <w:spacing w:after="0" w:before="0" w:line="250"/>
            </w:pPr>
            <w:r>
              <w:rPr>
                <w:color w:val="141414"/>
                <w:sz w:val="18"/>
                <w:szCs w:val="18"/>
              </w:rPr>
              <w:t xml:space="preserve">OR-2</w:t>
            </w:r>
          </w:p>
        </w:tc>
        <w:tc>
          <w:tcPr>
            <w:tcW w:type="dxa" w:w="8980"/>
            <w:shd w:fill="F2F8F8" w:color="auto" w:val="clear"/>
            <w:tcMar>
              <w:top w:type="dxa" w:w="90"/>
              <w:left w:type="dxa" w:w="130"/>
              <w:bottom w:type="dxa" w:w="90"/>
              <w:right w:type="dxa" w:w="130"/>
            </w:tcMar>
            <w:vAlign w:val="top"/>
          </w:tcPr>
          <w:p>
            <w:pPr>
              <w:spacing w:after="0" w:before="0" w:line="250"/>
            </w:pPr>
            <w:r>
              <w:rPr>
                <w:color w:val="141414"/>
                <w:sz w:val="18"/>
                <w:szCs w:val="18"/>
              </w:rPr>
              <w:t xml:space="preserve">The system should generate a draft spoken script (text-to-speech) a client could preview.</w:t>
            </w:r>
          </w:p>
        </w:tc>
      </w:tr>
      <w:tr>
        <w:tc>
          <w:tcPr>
            <w:tcW w:type="dxa" w:w="1100"/>
            <w:tcMar>
              <w:top w:type="dxa" w:w="90"/>
              <w:left w:type="dxa" w:w="130"/>
              <w:bottom w:type="dxa" w:w="90"/>
              <w:right w:type="dxa" w:w="130"/>
            </w:tcMar>
            <w:vAlign w:val="top"/>
          </w:tcPr>
          <w:p>
            <w:pPr>
              <w:spacing w:after="0" w:before="0" w:line="250"/>
            </w:pPr>
            <w:r>
              <w:rPr>
                <w:color w:val="141414"/>
                <w:sz w:val="18"/>
                <w:szCs w:val="18"/>
              </w:rPr>
              <w:t xml:space="preserve">OR-3</w:t>
            </w:r>
          </w:p>
        </w:tc>
        <w:tc>
          <w:tcPr>
            <w:tcW w:type="dxa" w:w="8980"/>
            <w:tcMar>
              <w:top w:type="dxa" w:w="90"/>
              <w:left w:type="dxa" w:w="130"/>
              <w:bottom w:type="dxa" w:w="90"/>
              <w:right w:type="dxa" w:w="130"/>
            </w:tcMar>
            <w:vAlign w:val="top"/>
          </w:tcPr>
          <w:p>
            <w:pPr>
              <w:spacing w:after="0" w:before="0" w:line="250"/>
            </w:pPr>
            <w:r>
              <w:rPr>
                <w:color w:val="141414"/>
                <w:sz w:val="18"/>
                <w:szCs w:val="18"/>
              </w:rPr>
              <w:t xml:space="preserve">The system may check a generated script for brand-voice or tone consistency against a stated style.</w:t>
            </w:r>
          </w:p>
        </w:tc>
      </w:tr>
      <w:tr>
        <w:tc>
          <w:tcPr>
            <w:tcW w:type="dxa" w:w="1100"/>
            <w:shd w:fill="F2F8F8" w:color="auto" w:val="clear"/>
            <w:tcMar>
              <w:top w:type="dxa" w:w="90"/>
              <w:left w:type="dxa" w:w="130"/>
              <w:bottom w:type="dxa" w:w="90"/>
              <w:right w:type="dxa" w:w="130"/>
            </w:tcMar>
            <w:vAlign w:val="top"/>
          </w:tcPr>
          <w:p>
            <w:pPr>
              <w:spacing w:after="0" w:before="0" w:line="250"/>
            </w:pPr>
            <w:r>
              <w:rPr>
                <w:color w:val="141414"/>
                <w:sz w:val="18"/>
                <w:szCs w:val="18"/>
              </w:rPr>
              <w:t xml:space="preserve">OR-4</w:t>
            </w:r>
          </w:p>
        </w:tc>
        <w:tc>
          <w:tcPr>
            <w:tcW w:type="dxa" w:w="8980"/>
            <w:shd w:fill="F2F8F8" w:color="auto" w:val="clear"/>
            <w:tcMar>
              <w:top w:type="dxa" w:w="90"/>
              <w:left w:type="dxa" w:w="130"/>
              <w:bottom w:type="dxa" w:w="90"/>
              <w:right w:type="dxa" w:w="130"/>
            </w:tcMar>
            <w:vAlign w:val="top"/>
          </w:tcPr>
          <w:p>
            <w:pPr>
              <w:spacing w:after="0" w:before="0" w:line="250"/>
            </w:pPr>
            <w:r>
              <w:rPr>
                <w:color w:val="141414"/>
                <w:sz w:val="18"/>
                <w:szCs w:val="18"/>
              </w:rPr>
              <w:t xml:space="preserve">The system may handle a short back-and-forth (a follow-up question) rather than a single one-shot input.</w:t>
            </w:r>
          </w:p>
        </w:tc>
      </w:tr>
      <w:tr>
        <w:tc>
          <w:tcPr>
            <w:tcW w:type="dxa" w:w="1100"/>
            <w:tcMar>
              <w:top w:type="dxa" w:w="90"/>
              <w:left w:type="dxa" w:w="130"/>
              <w:bottom w:type="dxa" w:w="90"/>
              <w:right w:type="dxa" w:w="130"/>
            </w:tcMar>
            <w:vAlign w:val="top"/>
          </w:tcPr>
          <w:p>
            <w:pPr>
              <w:spacing w:after="0" w:before="0" w:line="250"/>
            </w:pPr>
            <w:r>
              <w:rPr>
                <w:color w:val="141414"/>
                <w:sz w:val="18"/>
                <w:szCs w:val="18"/>
              </w:rPr>
              <w:t xml:space="preserve">OR-5</w:t>
            </w:r>
          </w:p>
        </w:tc>
        <w:tc>
          <w:tcPr>
            <w:tcW w:type="dxa" w:w="8980"/>
            <w:tcMar>
              <w:top w:type="dxa" w:w="90"/>
              <w:left w:type="dxa" w:w="130"/>
              <w:bottom w:type="dxa" w:w="90"/>
              <w:right w:type="dxa" w:w="130"/>
            </w:tcMar>
            <w:vAlign w:val="top"/>
          </w:tcPr>
          <w:p>
            <w:pPr>
              <w:spacing w:after="0" w:before="0" w:line="250"/>
            </w:pPr>
            <w:r>
              <w:rPr>
                <w:color w:val="141414"/>
                <w:sz w:val="18"/>
                <w:szCs w:val="18"/>
              </w:rPr>
              <w:t xml:space="preserve">The system may flag scripts that are missing a required disclosure (e.g. hold-time notice, callback offer).</w:t>
            </w:r>
          </w:p>
        </w:tc>
      </w:tr>
      <w:tr>
        <w:tc>
          <w:tcPr>
            <w:tcW w:type="dxa" w:w="1100"/>
            <w:shd w:fill="F2F8F8" w:color="auto" w:val="clear"/>
            <w:tcMar>
              <w:top w:type="dxa" w:w="90"/>
              <w:left w:type="dxa" w:w="130"/>
              <w:bottom w:type="dxa" w:w="90"/>
              <w:right w:type="dxa" w:w="130"/>
            </w:tcMar>
            <w:vAlign w:val="top"/>
          </w:tcPr>
          <w:p>
            <w:pPr>
              <w:spacing w:after="0" w:before="0" w:line="250"/>
            </w:pPr>
            <w:r>
              <w:rPr>
                <w:color w:val="141414"/>
                <w:sz w:val="18"/>
                <w:szCs w:val="18"/>
              </w:rPr>
              <w:t xml:space="preserve">OR-6</w:t>
            </w:r>
          </w:p>
        </w:tc>
        <w:tc>
          <w:tcPr>
            <w:tcW w:type="dxa" w:w="8980"/>
            <w:shd w:fill="F2F8F8" w:color="auto" w:val="clear"/>
            <w:tcMar>
              <w:top w:type="dxa" w:w="90"/>
              <w:left w:type="dxa" w:w="130"/>
              <w:bottom w:type="dxa" w:w="90"/>
              <w:right w:type="dxa" w:w="130"/>
            </w:tcMar>
            <w:vAlign w:val="top"/>
          </w:tcPr>
          <w:p>
            <w:pPr>
              <w:spacing w:after="0" w:before="0" w:line="250"/>
            </w:pPr>
            <w:r>
              <w:rPr>
                <w:color w:val="141414"/>
                <w:sz w:val="18"/>
                <w:szCs w:val="18"/>
              </w:rPr>
              <w:t xml:space="preserve">The system may measure and report, within the tool itself, the time or cost it saved versus the manual process.</w:t>
            </w:r>
          </w:p>
        </w:tc>
      </w:tr>
    </w:tbl>
    <w:p>
      <w:pPr>
        <w:spacing w:after="50" w:before="0"/>
      </w:pPr>
      <w:r>
        <w:rPr>
          <w:b/>
          <w:bCs/>
          <w:caps/>
          <w:color w:val="0E7C86"/>
          <w:spacing w:val="40"/>
          <w:sz w:val="15"/>
          <w:szCs w:val="15"/>
        </w:rPr>
        <w:t xml:space="preserve">BEFORE THE CLOCK STOPS</w:t>
      </w:r>
    </w:p>
    <w:p>
      <w:pPr>
        <w:pStyle w:val="Heading1"/>
        <w:pBdr>
          <w:bottom w:val="single" w:color="0E7C86" w:sz="8"/>
        </w:pBdr>
        <w:spacing w:after="160" w:before="380"/>
      </w:pPr>
      <w:r>
        <w:rPr>
          <w:b/>
          <w:bCs/>
          <w:color w:val="0E7C86"/>
          <w:sz w:val="28"/>
          <w:szCs w:val="28"/>
        </w:rPr>
        <w:t xml:space="preserve">6  </w:t>
      </w:r>
      <w:r>
        <w:rPr>
          <w:b/>
          <w:bCs/>
          <w:caps/>
          <w:color w:val="141414"/>
          <w:spacing w:val="8"/>
          <w:sz w:val="28"/>
          <w:szCs w:val="28"/>
        </w:rPr>
        <w:t xml:space="preserve">Submission</w:t>
      </w:r>
    </w:p>
    <w:p>
      <w:pPr>
        <w:spacing w:after="160" w:before="0" w:line="276"/>
      </w:pPr>
      <w:r>
        <w:rPr>
          <w:color w:val="6B6B6B"/>
          <w:sz w:val="20"/>
          <w:szCs w:val="20"/>
        </w:rPr>
        <w:t xml:space="preserve">Budget 2 minutes for this, out of your 20.</w:t>
      </w:r>
    </w:p>
    <w:p>
      <w:pPr>
        <w:pStyle w:val="Heading2"/>
        <w:spacing w:after="100" w:before="240"/>
      </w:pPr>
      <w:r>
        <w:rPr>
          <w:b/>
          <w:bCs/>
          <w:color w:val="141414"/>
          <w:sz w:val="21"/>
          <w:szCs w:val="21"/>
        </w:rPr>
        <w:t xml:space="preserve">6.1  What to submit</w:t>
      </w:r>
    </w:p>
    <w:p>
      <w:pPr>
        <w:pStyle w:val="ListParagraph"/>
        <w:numPr>
          <w:ilvl w:val="0"/>
          <w:numId w:val="2"/>
        </w:numPr>
        <w:spacing w:after="70" w:line="260"/>
      </w:pPr>
      <w:r>
        <w:rPr>
          <w:color w:val="141414"/>
          <w:sz w:val="20"/>
          <w:szCs w:val="20"/>
        </w:rPr>
        <w:t xml:space="preserve">One GitHub repository, public or private, through the submission form. No deck, no video, no written proposal.</w:t>
      </w:r>
    </w:p>
    <w:p>
      <w:pPr>
        <w:pStyle w:val="ListParagraph"/>
        <w:numPr>
          <w:ilvl w:val="0"/>
          <w:numId w:val="2"/>
        </w:numPr>
        <w:spacing w:after="70" w:line="260"/>
      </w:pPr>
      <w:r>
        <w:rPr>
          <w:color w:val="141414"/>
          <w:sz w:val="20"/>
          <w:szCs w:val="20"/>
        </w:rPr>
        <w:t xml:space="preserve">That repository, satisfying Section 5, is the entire deliverable.</w:t>
      </w:r>
    </w:p>
    <w:p>
      <w:pPr>
        <w:spacing w:after="120"/>
      </w:pPr>
    </w:p>
    <w:p>
      <w:pPr>
        <w:pStyle w:val="Heading2"/>
        <w:spacing w:after="100" w:before="240"/>
      </w:pPr>
      <w:r>
        <w:rPr>
          <w:b/>
          <w:bCs/>
          <w:color w:val="141414"/>
          <w:sz w:val="21"/>
          <w:szCs w:val="21"/>
        </w:rPr>
        <w:t xml:space="preserve">6.2  The submission form</w:t>
      </w:r>
    </w:p>
    <w:p>
      <w:pPr>
        <w:pStyle w:val="ListParagraph"/>
        <w:numPr>
          <w:ilvl w:val="0"/>
          <w:numId w:val="2"/>
        </w:numPr>
        <w:spacing w:after="70" w:line="260"/>
      </w:pPr>
      <w:r>
        <w:rPr>
          <w:b/>
          <w:bCs/>
          <w:color w:val="141414"/>
          <w:sz w:val="20"/>
          <w:szCs w:val="20"/>
        </w:rPr>
        <w:t xml:space="preserve">The form asks for: </w:t>
      </w:r>
      <w:r>
        <w:rPr>
          <w:color w:val="141414"/>
          <w:sz w:val="20"/>
          <w:szCs w:val="20"/>
        </w:rPr>
        <w:t xml:space="preserve">your name · your email · the repo URL · the branch, tag, or commit if it is not main · a read-only personal access token if the repo is private.</w:t>
      </w:r>
    </w:p>
    <w:p>
      <w:pPr>
        <w:pStyle w:val="ListParagraph"/>
        <w:numPr>
          <w:ilvl w:val="0"/>
          <w:numId w:val="2"/>
        </w:numPr>
        <w:spacing w:after="70" w:line="260"/>
      </w:pPr>
      <w:r>
        <w:rPr>
          <w:color w:val="141414"/>
          <w:sz w:val="20"/>
          <w:szCs w:val="20"/>
        </w:rPr>
        <w:t xml:space="preserve">If you name a specific commit, that exact state is what gets reviewed. If you leave it blank, we take main as of the 20-minute mark.</w:t>
      </w:r>
    </w:p>
    <w:p>
      <w:pPr>
        <w:spacing w:after="120"/>
      </w:pPr>
    </w:p>
    <w:tbl>
      <w:tblPr>
        <w:tblW w:type="dxa" w:w="10080"/>
        <w:tblBorders>
          <w:top w:val="none"/>
          <w:left w:val="single" w:color="0E7C86" w:sz="24"/>
          <w:bottom w:val="none"/>
          <w:right w:val="none"/>
          <w:insideH w:val="none"/>
          <w:insideV w:val="none"/>
        </w:tblBorders>
      </w:tblPr>
      <w:tblGrid>
        <w:gridCol w:w="10080"/>
      </w:tblGrid>
      <w:tr>
        <w:trPr>
          <w:cantSplit/>
        </w:trPr>
        <w:tc>
          <w:tcPr>
            <w:tcW w:type="dxa" w:w="10080"/>
            <w:shd w:fill="E8F4F3" w:color="auto" w:val="clear"/>
            <w:tcMar>
              <w:top w:type="dxa" w:w="150"/>
              <w:left w:type="dxa" w:w="200"/>
              <w:bottom w:type="dxa" w:w="150"/>
              <w:right w:type="dxa" w:w="200"/>
            </w:tcMar>
          </w:tcPr>
          <w:p>
            <w:pPr>
              <w:spacing w:after="60" w:before="0" w:line="276"/>
            </w:pPr>
            <w:r>
              <w:rPr>
                <w:b/>
                <w:bCs/>
                <w:color w:val="141414"/>
                <w:sz w:val="20"/>
                <w:szCs w:val="20"/>
              </w:rPr>
              <w:t xml:space="preserve">Optional — test your submission before you submit</w:t>
            </w:r>
          </w:p>
          <w:p>
            <w:pPr>
              <w:spacing w:after="60" w:before="0" w:line="276"/>
            </w:pPr>
            <w:r>
              <w:rPr>
                <w:color w:val="141414"/>
                <w:sz w:val="19"/>
                <w:szCs w:val="19"/>
              </w:rPr>
              <w:t xml:space="preserve">You can preview how the automated grader will read your repo before it counts for real. Point your own AI assistant at the VibeCheck spec (Section 8.2) alongside your code, and ask it to check your repo against Section 5 the way VibeCheck would. This costs you nothing officially — it is not seen by judges and has no bearing on scoring — it just tells you, while you still have a minute or two, whether a mandatory requirement is unaddressed before you find out the hard way.</w:t>
            </w:r>
          </w:p>
        </w:tc>
      </w:tr>
    </w:tbl>
    <w:p>
      <w:pPr>
        <w:spacing w:after="140"/>
      </w:pPr>
    </w:p>
    <w:p>
      <w:pPr>
        <w:pStyle w:val="Heading2"/>
        <w:spacing w:after="100" w:before="240"/>
      </w:pPr>
      <w:r>
        <w:rPr>
          <w:b/>
          <w:bCs/>
          <w:color w:val="141414"/>
          <w:sz w:val="21"/>
          <w:szCs w:val="21"/>
        </w:rPr>
        <w:t xml:space="preserve">6.3  Prohibited</w:t>
      </w:r>
    </w:p>
    <w:p>
      <w:pPr>
        <w:pStyle w:val="ListParagraph"/>
        <w:numPr>
          <w:ilvl w:val="0"/>
          <w:numId w:val="2"/>
        </w:numPr>
        <w:spacing w:after="70" w:line="260"/>
      </w:pPr>
      <w:r>
        <w:rPr>
          <w:color w:val="141414"/>
          <w:sz w:val="20"/>
          <w:szCs w:val="20"/>
        </w:rPr>
        <w:t xml:space="preserve">No secrets or API keys committed to the repository.</w:t>
      </w:r>
    </w:p>
    <w:p>
      <w:pPr>
        <w:pStyle w:val="ListParagraph"/>
        <w:numPr>
          <w:ilvl w:val="0"/>
          <w:numId w:val="2"/>
        </w:numPr>
        <w:spacing w:after="70" w:line="260"/>
      </w:pPr>
      <w:r>
        <w:rPr>
          <w:color w:val="141414"/>
          <w:sz w:val="20"/>
          <w:szCs w:val="20"/>
        </w:rPr>
        <w:t xml:space="preserve">No real client names, phone numbers, or recordings from an actual HoldNote client.</w:t>
      </w:r>
    </w:p>
    <w:p>
      <w:pPr>
        <w:pStyle w:val="ListParagraph"/>
        <w:numPr>
          <w:ilvl w:val="0"/>
          <w:numId w:val="2"/>
        </w:numPr>
        <w:spacing w:after="70" w:line="260"/>
      </w:pPr>
      <w:r>
        <w:rPr>
          <w:color w:val="141414"/>
          <w:sz w:val="20"/>
          <w:szCs w:val="20"/>
        </w:rPr>
        <w:t xml:space="preserve">No cloned voices without the speaker’s explicit consent.</w:t>
      </w:r>
    </w:p>
    <w:p>
      <w:pPr>
        <w:pStyle w:val="ListParagraph"/>
        <w:numPr>
          <w:ilvl w:val="0"/>
          <w:numId w:val="2"/>
        </w:numPr>
        <w:spacing w:after="70" w:line="260"/>
      </w:pPr>
      <w:r>
        <w:rPr>
          <w:color w:val="141414"/>
          <w:sz w:val="20"/>
          <w:szCs w:val="20"/>
        </w:rPr>
        <w:t xml:space="preserve">No copyrighted commercial audio (music, hold-music beds, sound libraries you don’t have rights to).</w:t>
      </w:r>
    </w:p>
    <w:p>
      <w:pPr>
        <w:spacing w:after="50" w:before="0"/>
      </w:pPr>
      <w:r>
        <w:rPr>
          <w:b/>
          <w:bCs/>
          <w:caps/>
          <w:color w:val="0E7C86"/>
          <w:spacing w:val="40"/>
          <w:sz w:val="15"/>
          <w:szCs w:val="15"/>
        </w:rPr>
        <w:t xml:space="preserve">SCORING</w:t>
      </w:r>
    </w:p>
    <w:p>
      <w:pPr>
        <w:pStyle w:val="Heading1"/>
        <w:pBdr>
          <w:bottom w:val="single" w:color="0E7C86" w:sz="8"/>
        </w:pBdr>
        <w:spacing w:after="160" w:before="380"/>
      </w:pPr>
      <w:r>
        <w:rPr>
          <w:b/>
          <w:bCs/>
          <w:color w:val="0E7C86"/>
          <w:sz w:val="28"/>
          <w:szCs w:val="28"/>
        </w:rPr>
        <w:t xml:space="preserve">7  </w:t>
      </w:r>
      <w:r>
        <w:rPr>
          <w:b/>
          <w:bCs/>
          <w:caps/>
          <w:color w:val="141414"/>
          <w:spacing w:val="8"/>
          <w:sz w:val="28"/>
          <w:szCs w:val="28"/>
        </w:rPr>
        <w:t xml:space="preserve">Judging</w:t>
      </w:r>
    </w:p>
    <w:p>
      <w:pPr>
        <w:spacing w:after="160" w:before="0" w:line="276"/>
      </w:pPr>
      <w:r>
        <w:rPr>
          <w:color w:val="6B6B6B"/>
          <w:sz w:val="20"/>
          <w:szCs w:val="20"/>
        </w:rPr>
        <w:t xml:space="preserve">Automated review of the repo, then human review.</w:t>
      </w:r>
    </w:p>
    <w:p>
      <w:pPr>
        <w:pStyle w:val="Heading2"/>
        <w:spacing w:after="100" w:before="240"/>
      </w:pPr>
      <w:r>
        <w:rPr>
          <w:b/>
          <w:bCs/>
          <w:color w:val="141414"/>
          <w:sz w:val="21"/>
          <w:szCs w:val="21"/>
        </w:rPr>
        <w:t xml:space="preserve">7.1  Automated review</w:t>
      </w:r>
    </w:p>
    <w:p>
      <w:pPr>
        <w:spacing w:after="160" w:before="0" w:line="276"/>
      </w:pPr>
      <w:r>
        <w:rPr>
          <w:color w:val="141414"/>
          <w:sz w:val="20"/>
          <w:szCs w:val="20"/>
        </w:rPr>
        <w:t xml:space="preserve">VibeCheck matches your code against Section 5 — it never runs anything, it compares text. Miss a mandatory requirement and the run grades Fail. Optional requirements are upside only: matching helps, skipping costs nothing. Spec: https://vibecraft.works/specs/vibecheck.md</w:t>
      </w:r>
    </w:p>
    <w:p>
      <w:pPr>
        <w:pStyle w:val="Heading2"/>
        <w:spacing w:after="100" w:before="240"/>
      </w:pPr>
      <w:r>
        <w:rPr>
          <w:b/>
          <w:bCs/>
          <w:color w:val="141414"/>
          <w:sz w:val="21"/>
          <w:szCs w:val="21"/>
        </w:rPr>
        <w:t xml:space="preserve">7.2  Human review</w:t>
      </w:r>
    </w:p>
    <w:p>
      <w:pPr>
        <w:spacing w:after="100" w:before="0" w:line="276"/>
      </w:pPr>
      <w:r>
        <w:rPr>
          <w:color w:val="141414"/>
          <w:sz w:val="20"/>
          <w:szCs w:val="20"/>
        </w:rPr>
        <w:t xml:space="preserve">Judges score 100 points from your repository — the code, and how it is organized:</w:t>
      </w:r>
    </w:p>
    <w:tbl>
      <w:tblPr>
        <w:tblW w:type="dxa" w:w="10080"/>
        <w:tblBorders>
          <w:top w:val="single" w:color="D9D9D9" w:sz="4"/>
          <w:left w:val="none"/>
          <w:bottom w:val="single" w:color="D9D9D9" w:sz="4"/>
          <w:right w:val="none"/>
          <w:insideH w:val="single" w:color="D9D9D9" w:sz="2"/>
          <w:insideV w:val="none"/>
        </w:tblBorders>
      </w:tblPr>
      <w:tblGrid>
        <w:gridCol w:w="2600"/>
        <w:gridCol w:w="1100"/>
        <w:gridCol w:w="6380"/>
      </w:tblGrid>
      <w:tr>
        <w:trPr>
          <w:tblHeader/>
        </w:trPr>
        <w:tc>
          <w:tcPr>
            <w:tcW w:type="dxa" w:w="2600"/>
            <w:shd w:fill="0A5860" w:color="auto" w:val="clear"/>
            <w:tcMar>
              <w:top w:type="dxa" w:w="90"/>
              <w:left w:type="dxa" w:w="130"/>
              <w:bottom w:type="dxa" w:w="90"/>
              <w:right w:type="dxa" w:w="130"/>
            </w:tcMar>
            <w:vAlign w:val="top"/>
          </w:tcPr>
          <w:p>
            <w:pPr>
              <w:spacing w:after="0" w:before="0" w:line="250"/>
            </w:pPr>
            <w:r>
              <w:rPr>
                <w:b/>
                <w:bCs/>
                <w:color w:val="FFFFFF"/>
                <w:sz w:val="17"/>
                <w:szCs w:val="17"/>
              </w:rPr>
              <w:t xml:space="preserve">Criterion</w:t>
            </w:r>
          </w:p>
        </w:tc>
        <w:tc>
          <w:tcPr>
            <w:tcW w:type="dxa" w:w="1100"/>
            <w:shd w:fill="0A5860" w:color="auto" w:val="clear"/>
            <w:tcMar>
              <w:top w:type="dxa" w:w="90"/>
              <w:left w:type="dxa" w:w="130"/>
              <w:bottom w:type="dxa" w:w="90"/>
              <w:right w:type="dxa" w:w="130"/>
            </w:tcMar>
            <w:vAlign w:val="top"/>
          </w:tcPr>
          <w:p>
            <w:pPr>
              <w:spacing w:after="0" w:before="0" w:line="250"/>
            </w:pPr>
            <w:r>
              <w:rPr>
                <w:b/>
                <w:bCs/>
                <w:color w:val="FFFFFF"/>
                <w:sz w:val="17"/>
                <w:szCs w:val="17"/>
              </w:rPr>
              <w:t xml:space="preserve">Points</w:t>
            </w:r>
          </w:p>
        </w:tc>
        <w:tc>
          <w:tcPr>
            <w:tcW w:type="dxa" w:w="6380"/>
            <w:shd w:fill="0A5860" w:color="auto" w:val="clear"/>
            <w:tcMar>
              <w:top w:type="dxa" w:w="90"/>
              <w:left w:type="dxa" w:w="130"/>
              <w:bottom w:type="dxa" w:w="90"/>
              <w:right w:type="dxa" w:w="130"/>
            </w:tcMar>
            <w:vAlign w:val="top"/>
          </w:tcPr>
          <w:p>
            <w:pPr>
              <w:spacing w:after="0" w:before="0" w:line="250"/>
            </w:pPr>
            <w:r>
              <w:rPr>
                <w:b/>
                <w:bCs/>
                <w:color w:val="FFFFFF"/>
                <w:sz w:val="17"/>
                <w:szCs w:val="17"/>
              </w:rPr>
              <w:t xml:space="preserve">What it rewards</w:t>
            </w:r>
          </w:p>
        </w:tc>
      </w:tr>
      <w:tr>
        <w:tc>
          <w:tcPr>
            <w:tcW w:type="dxa" w:w="2600"/>
            <w:tcMar>
              <w:top w:type="dxa" w:w="90"/>
              <w:left w:type="dxa" w:w="130"/>
              <w:bottom w:type="dxa" w:w="90"/>
              <w:right w:type="dxa" w:w="130"/>
            </w:tcMar>
            <w:vAlign w:val="top"/>
          </w:tcPr>
          <w:p>
            <w:pPr>
              <w:spacing w:after="0" w:before="0" w:line="250"/>
            </w:pPr>
            <w:r>
              <w:rPr>
                <w:color w:val="141414"/>
                <w:sz w:val="18"/>
                <w:szCs w:val="18"/>
              </w:rPr>
              <w:t xml:space="preserve">Business thinking</w:t>
            </w:r>
          </w:p>
        </w:tc>
        <w:tc>
          <w:tcPr>
            <w:tcW w:type="dxa" w:w="1100"/>
            <w:tcMar>
              <w:top w:type="dxa" w:w="90"/>
              <w:left w:type="dxa" w:w="130"/>
              <w:bottom w:type="dxa" w:w="90"/>
              <w:right w:type="dxa" w:w="130"/>
            </w:tcMar>
            <w:vAlign w:val="top"/>
          </w:tcPr>
          <w:p>
            <w:pPr>
              <w:spacing w:after="0" w:before="0" w:line="250"/>
            </w:pPr>
            <w:r>
              <w:rPr>
                <w:color w:val="141414"/>
                <w:sz w:val="18"/>
                <w:szCs w:val="18"/>
              </w:rPr>
              <w:t xml:space="preserve">25</w:t>
            </w:r>
          </w:p>
        </w:tc>
        <w:tc>
          <w:tcPr>
            <w:tcW w:type="dxa" w:w="6380"/>
            <w:tcMar>
              <w:top w:type="dxa" w:w="90"/>
              <w:left w:type="dxa" w:w="130"/>
              <w:bottom w:type="dxa" w:w="90"/>
              <w:right w:type="dxa" w:w="130"/>
            </w:tcMar>
            <w:vAlign w:val="top"/>
          </w:tcPr>
          <w:p>
            <w:pPr>
              <w:spacing w:after="0" w:before="0" w:line="250"/>
            </w:pPr>
            <w:r>
              <w:rPr>
                <w:color w:val="141414"/>
                <w:sz w:val="18"/>
                <w:szCs w:val="18"/>
              </w:rPr>
              <w:t xml:space="preserve">Evidence you sat with Section 3 before building — a clear friction point and one named outcome.</w:t>
            </w:r>
          </w:p>
        </w:tc>
      </w:tr>
      <w:tr>
        <w:tc>
          <w:tcPr>
            <w:tcW w:type="dxa" w:w="2600"/>
            <w:shd w:fill="F2F8F8" w:color="auto" w:val="clear"/>
            <w:tcMar>
              <w:top w:type="dxa" w:w="90"/>
              <w:left w:type="dxa" w:w="130"/>
              <w:bottom w:type="dxa" w:w="90"/>
              <w:right w:type="dxa" w:w="130"/>
            </w:tcMar>
            <w:vAlign w:val="top"/>
          </w:tcPr>
          <w:p>
            <w:pPr>
              <w:spacing w:after="0" w:before="0" w:line="250"/>
            </w:pPr>
            <w:r>
              <w:rPr>
                <w:color w:val="141414"/>
                <w:sz w:val="18"/>
                <w:szCs w:val="18"/>
              </w:rPr>
              <w:t xml:space="preserve">Design and creativity</w:t>
            </w:r>
          </w:p>
        </w:tc>
        <w:tc>
          <w:tcPr>
            <w:tcW w:type="dxa" w:w="1100"/>
            <w:shd w:fill="F2F8F8" w:color="auto" w:val="clear"/>
            <w:tcMar>
              <w:top w:type="dxa" w:w="90"/>
              <w:left w:type="dxa" w:w="130"/>
              <w:bottom w:type="dxa" w:w="90"/>
              <w:right w:type="dxa" w:w="130"/>
            </w:tcMar>
            <w:vAlign w:val="top"/>
          </w:tcPr>
          <w:p>
            <w:pPr>
              <w:spacing w:after="0" w:before="0" w:line="250"/>
            </w:pPr>
            <w:r>
              <w:rPr>
                <w:color w:val="141414"/>
                <w:sz w:val="18"/>
                <w:szCs w:val="18"/>
              </w:rPr>
              <w:t xml:space="preserve">25</w:t>
            </w:r>
          </w:p>
        </w:tc>
        <w:tc>
          <w:tcPr>
            <w:tcW w:type="dxa" w:w="6380"/>
            <w:shd w:fill="F2F8F8" w:color="auto" w:val="clear"/>
            <w:tcMar>
              <w:top w:type="dxa" w:w="90"/>
              <w:left w:type="dxa" w:w="130"/>
              <w:bottom w:type="dxa" w:w="90"/>
              <w:right w:type="dxa" w:w="130"/>
            </w:tcMar>
            <w:vAlign w:val="top"/>
          </w:tcPr>
          <w:p>
            <w:pPr>
              <w:spacing w:after="0" w:before="0" w:line="250"/>
            </w:pPr>
            <w:r>
              <w:rPr>
                <w:color w:val="141414"/>
                <w:sz w:val="18"/>
                <w:szCs w:val="18"/>
              </w:rPr>
              <w:t xml:space="preserve">A concept that fits HoldNote specifically, not a generic voice-agent submission.</w:t>
            </w:r>
          </w:p>
        </w:tc>
      </w:tr>
      <w:tr>
        <w:tc>
          <w:tcPr>
            <w:tcW w:type="dxa" w:w="2600"/>
            <w:tcMar>
              <w:top w:type="dxa" w:w="90"/>
              <w:left w:type="dxa" w:w="130"/>
              <w:bottom w:type="dxa" w:w="90"/>
              <w:right w:type="dxa" w:w="130"/>
            </w:tcMar>
            <w:vAlign w:val="top"/>
          </w:tcPr>
          <w:p>
            <w:pPr>
              <w:spacing w:after="0" w:before="0" w:line="250"/>
            </w:pPr>
            <w:r>
              <w:rPr>
                <w:color w:val="141414"/>
                <w:sz w:val="18"/>
                <w:szCs w:val="18"/>
              </w:rPr>
              <w:t xml:space="preserve">Execution and scope discipline</w:t>
            </w:r>
          </w:p>
        </w:tc>
        <w:tc>
          <w:tcPr>
            <w:tcW w:type="dxa" w:w="1100"/>
            <w:tcMar>
              <w:top w:type="dxa" w:w="90"/>
              <w:left w:type="dxa" w:w="130"/>
              <w:bottom w:type="dxa" w:w="90"/>
              <w:right w:type="dxa" w:w="130"/>
            </w:tcMar>
            <w:vAlign w:val="top"/>
          </w:tcPr>
          <w:p>
            <w:pPr>
              <w:spacing w:after="0" w:before="0" w:line="250"/>
            </w:pPr>
            <w:r>
              <w:rPr>
                <w:color w:val="141414"/>
                <w:sz w:val="18"/>
                <w:szCs w:val="18"/>
              </w:rPr>
              <w:t xml:space="preserve">30</w:t>
            </w:r>
          </w:p>
        </w:tc>
        <w:tc>
          <w:tcPr>
            <w:tcW w:type="dxa" w:w="6380"/>
            <w:tcMar>
              <w:top w:type="dxa" w:w="90"/>
              <w:left w:type="dxa" w:w="130"/>
              <w:bottom w:type="dxa" w:w="90"/>
              <w:right w:type="dxa" w:w="130"/>
            </w:tcMar>
            <w:vAlign w:val="top"/>
          </w:tcPr>
          <w:p>
            <w:pPr>
              <w:spacing w:after="0" w:before="0" w:line="250"/>
            </w:pPr>
            <w:r>
              <w:rPr>
                <w:color w:val="141414"/>
                <w:sz w:val="18"/>
                <w:szCs w:val="18"/>
              </w:rPr>
              <w:t xml:space="preserve">A narrow flow that genuinely works, honestly scoped for 20 minutes.</w:t>
            </w:r>
          </w:p>
        </w:tc>
      </w:tr>
      <w:tr>
        <w:tc>
          <w:tcPr>
            <w:tcW w:type="dxa" w:w="2600"/>
            <w:shd w:fill="F2F8F8" w:color="auto" w:val="clear"/>
            <w:tcMar>
              <w:top w:type="dxa" w:w="90"/>
              <w:left w:type="dxa" w:w="130"/>
              <w:bottom w:type="dxa" w:w="90"/>
              <w:right w:type="dxa" w:w="130"/>
            </w:tcMar>
            <w:vAlign w:val="top"/>
          </w:tcPr>
          <w:p>
            <w:pPr>
              <w:spacing w:after="0" w:before="0" w:line="250"/>
            </w:pPr>
            <w:r>
              <w:rPr>
                <w:color w:val="141414"/>
                <w:sz w:val="18"/>
                <w:szCs w:val="18"/>
              </w:rPr>
              <w:t xml:space="preserve">Voice agent integration</w:t>
            </w:r>
          </w:p>
        </w:tc>
        <w:tc>
          <w:tcPr>
            <w:tcW w:type="dxa" w:w="1100"/>
            <w:shd w:fill="F2F8F8" w:color="auto" w:val="clear"/>
            <w:tcMar>
              <w:top w:type="dxa" w:w="90"/>
              <w:left w:type="dxa" w:w="130"/>
              <w:bottom w:type="dxa" w:w="90"/>
              <w:right w:type="dxa" w:w="130"/>
            </w:tcMar>
            <w:vAlign w:val="top"/>
          </w:tcPr>
          <w:p>
            <w:pPr>
              <w:spacing w:after="0" w:before="0" w:line="250"/>
            </w:pPr>
            <w:r>
              <w:rPr>
                <w:color w:val="141414"/>
                <w:sz w:val="18"/>
                <w:szCs w:val="18"/>
              </w:rPr>
              <w:t xml:space="preserve">20</w:t>
            </w:r>
          </w:p>
        </w:tc>
        <w:tc>
          <w:tcPr>
            <w:tcW w:type="dxa" w:w="6380"/>
            <w:shd w:fill="F2F8F8" w:color="auto" w:val="clear"/>
            <w:tcMar>
              <w:top w:type="dxa" w:w="90"/>
              <w:left w:type="dxa" w:w="130"/>
              <w:bottom w:type="dxa" w:w="90"/>
              <w:right w:type="dxa" w:w="130"/>
            </w:tcMar>
            <w:vAlign w:val="top"/>
          </w:tcPr>
          <w:p>
            <w:pPr>
              <w:spacing w:after="0" w:before="0" w:line="250"/>
            </w:pPr>
            <w:r>
              <w:rPr>
                <w:color w:val="141414"/>
                <w:sz w:val="18"/>
                <w:szCs w:val="18"/>
              </w:rPr>
              <w:t xml:space="preserve">Audio is load-bearing, not decorative.</w:t>
            </w:r>
          </w:p>
        </w:tc>
      </w:tr>
    </w:tbl>
    <w:p>
      <w:pPr>
        <w:spacing w:after="140"/>
      </w:pPr>
    </w:p>
    <w:p>
      <w:pPr>
        <w:spacing w:after="140" w:before="0" w:line="276"/>
      </w:pPr>
      <w:r>
        <w:rPr>
          <w:b/>
          <w:bCs/>
          <w:color w:val="141414"/>
          <w:sz w:val="20"/>
          <w:szCs w:val="20"/>
        </w:rPr>
        <w:t xml:space="preserve">Up to 10 bonus points </w:t>
      </w:r>
      <w:r>
        <w:rPr>
          <w:color w:val="141414"/>
          <w:sz w:val="20"/>
          <w:szCs w:val="20"/>
        </w:rPr>
        <w:t xml:space="preserve">for consent design, integration realism, or built-in measurement.</w:t>
      </w:r>
    </w:p>
    <w:p>
      <w:pPr>
        <w:pStyle w:val="Heading2"/>
        <w:spacing w:after="100" w:before="240"/>
      </w:pPr>
      <w:r>
        <w:rPr>
          <w:b/>
          <w:bCs/>
          <w:color w:val="141414"/>
          <w:sz w:val="21"/>
          <w:szCs w:val="21"/>
        </w:rPr>
        <w:t xml:space="preserve">7.3  Where they disagree</w:t>
      </w:r>
    </w:p>
    <w:p>
      <w:pPr>
        <w:spacing w:after="120" w:before="0" w:line="276"/>
      </w:pPr>
      <w:r>
        <w:rPr>
          <w:color w:val="141414"/>
          <w:sz w:val="20"/>
          <w:szCs w:val="20"/>
        </w:rPr>
        <w:t xml:space="preserve">The humans decide. Writing clearly for the machine and building something worth reviewing are two separate jobs. Do both.</w:t>
      </w:r>
    </w:p>
    <w:p>
      <w:pPr>
        <w:spacing w:after="50" w:before="0"/>
      </w:pPr>
      <w:r>
        <w:rPr>
          <w:b/>
          <w:bCs/>
          <w:caps/>
          <w:color w:val="0E7C86"/>
          <w:spacing w:val="40"/>
          <w:sz w:val="15"/>
          <w:szCs w:val="15"/>
        </w:rPr>
        <w:t xml:space="preserve">REFERENCE</w:t>
      </w:r>
    </w:p>
    <w:p>
      <w:pPr>
        <w:pStyle w:val="Heading1"/>
        <w:pBdr>
          <w:bottom w:val="single" w:color="0E7C86" w:sz="8"/>
        </w:pBdr>
        <w:spacing w:after="160" w:before="380"/>
      </w:pPr>
      <w:r>
        <w:rPr>
          <w:b/>
          <w:bCs/>
          <w:color w:val="0E7C86"/>
          <w:sz w:val="28"/>
          <w:szCs w:val="28"/>
        </w:rPr>
        <w:t xml:space="preserve">8  </w:t>
      </w:r>
      <w:r>
        <w:rPr>
          <w:b/>
          <w:bCs/>
          <w:caps/>
          <w:color w:val="141414"/>
          <w:spacing w:val="8"/>
          <w:sz w:val="28"/>
          <w:szCs w:val="28"/>
        </w:rPr>
        <w:t xml:space="preserve">Guardrails &amp; Glossary</w:t>
      </w:r>
    </w:p>
    <w:p>
      <w:pPr>
        <w:pStyle w:val="Heading2"/>
        <w:spacing w:after="100" w:before="240"/>
      </w:pPr>
      <w:r>
        <w:rPr>
          <w:b/>
          <w:bCs/>
          <w:color w:val="141414"/>
          <w:sz w:val="21"/>
          <w:szCs w:val="21"/>
        </w:rPr>
        <w:t xml:space="preserve">8.1  Guardrails</w:t>
      </w:r>
    </w:p>
    <w:p>
      <w:pPr>
        <w:spacing w:after="160" w:before="0" w:line="276"/>
      </w:pPr>
      <w:r>
        <w:rPr>
          <w:color w:val="141414"/>
          <w:sz w:val="20"/>
          <w:szCs w:val="20"/>
        </w:rPr>
        <w:t xml:space="preserve">See Section 6.3 for the full list of what not to submit. It applies to everything you build, not only the final repo.</w:t>
      </w:r>
    </w:p>
    <w:p>
      <w:pPr>
        <w:pStyle w:val="Heading2"/>
        <w:spacing w:after="100" w:before="240"/>
      </w:pPr>
      <w:r>
        <w:rPr>
          <w:b/>
          <w:bCs/>
          <w:color w:val="141414"/>
          <w:sz w:val="21"/>
          <w:szCs w:val="21"/>
        </w:rPr>
        <w:t xml:space="preserve">8.2  Glossary</w:t>
      </w:r>
    </w:p>
    <w:p>
      <w:pPr>
        <w:pStyle w:val="ListParagraph"/>
        <w:numPr>
          <w:ilvl w:val="0"/>
          <w:numId w:val="2"/>
        </w:numPr>
        <w:spacing w:after="70" w:line="260"/>
      </w:pPr>
      <w:r>
        <w:rPr>
          <w:b/>
          <w:bCs/>
          <w:color w:val="141414"/>
          <w:sz w:val="20"/>
          <w:szCs w:val="20"/>
        </w:rPr>
        <w:t xml:space="preserve">VibeCheck — </w:t>
      </w:r>
      <w:r>
        <w:rPr>
          <w:color w:val="141414"/>
          <w:sz w:val="20"/>
          <w:szCs w:val="20"/>
        </w:rPr>
        <w:t xml:space="preserve">the automated review that matches your repository against the requirements in Section 5 before a human reads it. Specification: https://vibecraft.works/specs/vibecheck.md. See Section 7.1.</w:t>
      </w:r>
    </w:p>
    <w:p>
      <w:pPr>
        <w:spacing w:after="140"/>
      </w:pPr>
    </w:p>
    <w:tbl>
      <w:tblPr>
        <w:tblW w:type="dxa" w:w="10080"/>
        <w:tblBorders>
          <w:top w:val="none"/>
          <w:left w:val="single" w:color="0E7C86" w:sz="24"/>
          <w:bottom w:val="none"/>
          <w:right w:val="none"/>
          <w:insideH w:val="none"/>
          <w:insideV w:val="none"/>
        </w:tblBorders>
      </w:tblPr>
      <w:tblGrid>
        <w:gridCol w:w="10080"/>
      </w:tblGrid>
      <w:tr>
        <w:trPr>
          <w:cantSplit/>
        </w:trPr>
        <w:tc>
          <w:tcPr>
            <w:tcW w:type="dxa" w:w="10080"/>
            <w:shd w:fill="E8F4F3" w:color="auto" w:val="clear"/>
            <w:tcMar>
              <w:top w:type="dxa" w:w="150"/>
              <w:left w:type="dxa" w:w="200"/>
              <w:bottom w:type="dxa" w:w="150"/>
              <w:right w:type="dxa" w:w="200"/>
            </w:tcMar>
          </w:tcPr>
          <w:p>
            <w:pPr>
              <w:spacing w:after="60" w:before="0" w:line="276"/>
            </w:pPr>
            <w:r>
              <w:rPr>
                <w:b/>
                <w:bCs/>
                <w:color w:val="141414"/>
                <w:sz w:val="20"/>
                <w:szCs w:val="20"/>
              </w:rPr>
              <w:t xml:space="preserve">One rule above all others: do not lead with the AI. Lead with the business outcome. </w:t>
            </w:r>
            <w:r>
              <w:rPr>
                <w:color w:val="141414"/>
                <w:sz w:val="20"/>
                <w:szCs w:val="20"/>
              </w:rPr>
              <w:t xml:space="preserve">We should be able to open your repository, ignore every technical detail in it, and still understand why HoldNote would want this.</w:t>
            </w:r>
          </w:p>
        </w:tc>
      </w:tr>
    </w:tbl>
    <w:p>
      <w:pPr>
        <w:spacing w:before="200"/>
      </w:pPr>
      <w:r>
        <w:rPr>
          <w:color w:val="6B6B6B"/>
          <w:sz w:val="16"/>
          <w:szCs w:val="16"/>
        </w:rPr>
        <w:t xml:space="preserve">HoldNote · Confidential</w:t>
      </w:r>
    </w:p>
    <w:sectPr>
      <w:headerReference w:type="default" r:id="rId7"/>
      <w:footerReference w:type="default" r:id="rId8"/>
      <w:pgSz w:w="12240" w:h="15840" w:orient="portrait"/>
      <w:pgMar w:top="900" w:right="1080" w:bottom="72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6B6B6B"/>
        <w:sz w:val="15"/>
        <w:szCs w:val="15"/>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D9D9D9" w:sz="4"/>
      </w:pBdr>
      <w:spacing w:after="120"/>
      <w:jc w:val="right"/>
    </w:pPr>
    <w:r>
      <w:rPr>
        <w:b/>
        <w:bCs/>
        <w:color w:val="0E7C86"/>
        <w:spacing w:val="14"/>
        <w:sz w:val="15"/>
        <w:szCs w:val="15"/>
      </w:rPr>
      <w:t xml:space="preserve">HOLDNOTE</w:t>
    </w:r>
    <w:r>
      <w:rPr>
        <w:color w:val="6B6B6B"/>
        <w:sz w:val="15"/>
        <w:szCs w:val="15"/>
      </w:rPr>
      <w:t xml:space="preserve">  —  AI Voice Agent Challenge RFP</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20" w:hanging="19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41414"/>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 Voice Agent Challenge - RFP</dc:title>
  <dc:creator>HoldNote</dc:creator>
  <cp:lastModifiedBy>Un-named</cp:lastModifiedBy>
  <cp:revision>1</cp:revision>
  <dcterms:created xsi:type="dcterms:W3CDTF">2026-08-26T13:25:11.968Z</dcterms:created>
  <dcterms:modified xsi:type="dcterms:W3CDTF">2026-08-26T13:25:11.986Z</dcterms:modified>
</cp:coreProperties>
</file>

<file path=docProps/custom.xml><?xml version="1.0" encoding="utf-8"?>
<Properties xmlns="http://schemas.openxmlformats.org/officeDocument/2006/custom-properties" xmlns:vt="http://schemas.openxmlformats.org/officeDocument/2006/docPropsVTypes"/>
</file>